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AD4F05" w:rsidRDefault="006544C4" w:rsidP="00907825">
      <w:pPr>
        <w:jc w:val="center"/>
        <w:rPr>
          <w:lang w:val="fr-FR"/>
        </w:rPr>
      </w:pPr>
      <w:bookmarkStart w:id="0" w:name="_GoBack"/>
      <w:bookmarkEnd w:id="0"/>
    </w:p>
    <w:p w:rsidR="006544C4" w:rsidRPr="00AD4F05" w:rsidRDefault="006544C4" w:rsidP="00907825">
      <w:pPr>
        <w:jc w:val="center"/>
        <w:rPr>
          <w:lang w:val="fr-FR"/>
        </w:rPr>
      </w:pPr>
    </w:p>
    <w:p w:rsidR="006544C4" w:rsidRPr="00AD4F05" w:rsidRDefault="008B3A45" w:rsidP="00907825">
      <w:pPr>
        <w:pStyle w:val="DecHTitle"/>
        <w:rPr>
          <w:lang w:val="fr-FR"/>
        </w:rPr>
      </w:pPr>
      <w:r>
        <w:rPr>
          <w:szCs w:val="24"/>
          <w:lang w:val="fr-FR"/>
        </w:rPr>
        <w:t>QUATRIÈME SECTION</w:t>
      </w:r>
    </w:p>
    <w:p w:rsidR="006544C4" w:rsidRPr="00AD4F05" w:rsidRDefault="006544C4" w:rsidP="00907825">
      <w:pPr>
        <w:pStyle w:val="DecHTitle"/>
        <w:rPr>
          <w:caps/>
          <w:sz w:val="32"/>
          <w:lang w:val="fr-FR"/>
        </w:rPr>
      </w:pPr>
      <w:r w:rsidRPr="00AD4F05">
        <w:rPr>
          <w:lang w:val="fr-FR"/>
        </w:rPr>
        <w:t>DÉCISION</w:t>
      </w:r>
    </w:p>
    <w:p w:rsidR="006544C4" w:rsidRPr="00AD4F05" w:rsidRDefault="008B3A45" w:rsidP="00907825">
      <w:pPr>
        <w:pStyle w:val="ECHRTitleCentre2"/>
        <w:rPr>
          <w:lang w:val="fr-FR"/>
        </w:rPr>
      </w:pPr>
      <w:r w:rsidRPr="00AD4F05">
        <w:rPr>
          <w:lang w:val="fr-FR"/>
        </w:rPr>
        <w:t>Requête n</w:t>
      </w:r>
      <w:r w:rsidRPr="00AD4F05">
        <w:rPr>
          <w:vertAlign w:val="superscript"/>
          <w:lang w:val="fr-FR"/>
        </w:rPr>
        <w:t>o</w:t>
      </w:r>
      <w:r w:rsidR="006544C4" w:rsidRPr="00AD4F05">
        <w:rPr>
          <w:lang w:val="fr-FR"/>
        </w:rPr>
        <w:t xml:space="preserve"> </w:t>
      </w:r>
      <w:r>
        <w:rPr>
          <w:lang w:val="fr-FR"/>
        </w:rPr>
        <w:t>18976/13</w:t>
      </w:r>
      <w:r w:rsidR="006544C4" w:rsidRPr="00AD4F05">
        <w:rPr>
          <w:lang w:val="fr-FR"/>
        </w:rPr>
        <w:br/>
      </w:r>
      <w:r>
        <w:rPr>
          <w:lang w:val="fr-FR"/>
        </w:rPr>
        <w:t>A.C.</w:t>
      </w:r>
      <w:r w:rsidRPr="00AD4F05">
        <w:rPr>
          <w:lang w:val="fr-FR"/>
        </w:rPr>
        <w:t xml:space="preserve"> et </w:t>
      </w:r>
      <w:r>
        <w:rPr>
          <w:lang w:val="fr-FR"/>
        </w:rPr>
        <w:t>F.I.</w:t>
      </w:r>
      <w:r w:rsidRPr="00AD4F05">
        <w:rPr>
          <w:lang w:val="fr-FR"/>
        </w:rPr>
        <w:br/>
      </w:r>
      <w:r w:rsidR="006544C4" w:rsidRPr="00AD4F05">
        <w:rPr>
          <w:lang w:val="fr-FR"/>
        </w:rPr>
        <w:t xml:space="preserve">contre </w:t>
      </w:r>
      <w:r w:rsidRPr="00AD4F05">
        <w:rPr>
          <w:lang w:val="fr-FR"/>
        </w:rPr>
        <w:t>l</w:t>
      </w:r>
      <w:r w:rsidR="00656E34">
        <w:rPr>
          <w:lang w:val="fr-FR"/>
        </w:rPr>
        <w:t>’</w:t>
      </w:r>
      <w:r>
        <w:rPr>
          <w:lang w:val="fr-FR"/>
        </w:rPr>
        <w:t>Italie</w:t>
      </w:r>
    </w:p>
    <w:p w:rsidR="008B3A45" w:rsidRPr="00E21176" w:rsidRDefault="008B3A45" w:rsidP="0099548A">
      <w:pPr>
        <w:pStyle w:val="ECHRPara"/>
        <w:rPr>
          <w:lang w:val="fr-FR"/>
        </w:rPr>
      </w:pPr>
      <w:r w:rsidRPr="00E21176">
        <w:rPr>
          <w:lang w:val="fr-FR"/>
        </w:rPr>
        <w:t>La Cour européenne des droits de l</w:t>
      </w:r>
      <w:r w:rsidR="00656E34">
        <w:rPr>
          <w:lang w:val="fr-FR"/>
        </w:rPr>
        <w:t>’</w:t>
      </w:r>
      <w:r w:rsidRPr="00E21176">
        <w:rPr>
          <w:lang w:val="fr-FR"/>
        </w:rPr>
        <w:t>homme (</w:t>
      </w:r>
      <w:r>
        <w:rPr>
          <w:lang w:val="fr-FR"/>
        </w:rPr>
        <w:t>quatrième section</w:t>
      </w:r>
      <w:r w:rsidRPr="00E21176">
        <w:rPr>
          <w:lang w:val="fr-FR"/>
        </w:rPr>
        <w:t xml:space="preserve">), siégeant le </w:t>
      </w:r>
      <w:r>
        <w:rPr>
          <w:lang w:val="fr-FR"/>
        </w:rPr>
        <w:t>6 octobre</w:t>
      </w:r>
      <w:r w:rsidRPr="00E21176">
        <w:rPr>
          <w:lang w:val="fr-FR"/>
        </w:rPr>
        <w:t xml:space="preserve"> </w:t>
      </w:r>
      <w:r w:rsidR="00FE02B1">
        <w:rPr>
          <w:lang w:val="fr-FR"/>
        </w:rPr>
        <w:t xml:space="preserve">2015 </w:t>
      </w:r>
      <w:r w:rsidRPr="00E21176">
        <w:rPr>
          <w:lang w:val="fr-FR"/>
        </w:rPr>
        <w:t xml:space="preserve">en une </w:t>
      </w:r>
      <w:r>
        <w:rPr>
          <w:lang w:val="fr-FR"/>
        </w:rPr>
        <w:t>Chambre</w:t>
      </w:r>
      <w:r w:rsidRPr="00E21176">
        <w:rPr>
          <w:lang w:val="fr-FR"/>
        </w:rPr>
        <w:t xml:space="preserve"> composée de :</w:t>
      </w:r>
    </w:p>
    <w:p w:rsidR="008B3A45" w:rsidRPr="00FE02B1" w:rsidRDefault="008B3A45" w:rsidP="00656E34">
      <w:pPr>
        <w:pStyle w:val="ECHRDecisionBody"/>
        <w:rPr>
          <w:lang w:val="fr-FR"/>
        </w:rPr>
      </w:pPr>
      <w:r w:rsidRPr="008B3A45">
        <w:rPr>
          <w:lang w:val="fr-FR"/>
        </w:rPr>
        <w:tab/>
      </w:r>
      <w:r w:rsidRPr="00FE02B1">
        <w:rPr>
          <w:lang w:val="fr-FR"/>
        </w:rPr>
        <w:t>Päivi Hirvelä,</w:t>
      </w:r>
      <w:r w:rsidRPr="00FE02B1">
        <w:rPr>
          <w:i/>
          <w:lang w:val="fr-FR"/>
        </w:rPr>
        <w:t xml:space="preserve"> présidente,</w:t>
      </w:r>
      <w:r w:rsidRPr="00FE02B1">
        <w:rPr>
          <w:i/>
          <w:lang w:val="fr-FR"/>
        </w:rPr>
        <w:br/>
      </w:r>
      <w:r w:rsidRPr="00FE02B1">
        <w:rPr>
          <w:lang w:val="fr-FR"/>
        </w:rPr>
        <w:tab/>
        <w:t>Guido Raimondi,</w:t>
      </w:r>
      <w:r w:rsidRPr="00FE02B1">
        <w:rPr>
          <w:i/>
          <w:lang w:val="fr-FR"/>
        </w:rPr>
        <w:br/>
      </w:r>
      <w:r w:rsidRPr="00FE02B1">
        <w:rPr>
          <w:lang w:val="fr-FR"/>
        </w:rPr>
        <w:tab/>
        <w:t>Ledi Bianku,</w:t>
      </w:r>
      <w:r w:rsidRPr="00FE02B1">
        <w:rPr>
          <w:i/>
          <w:lang w:val="fr-FR"/>
        </w:rPr>
        <w:br/>
      </w:r>
      <w:r w:rsidRPr="00FE02B1">
        <w:rPr>
          <w:lang w:val="fr-FR"/>
        </w:rPr>
        <w:tab/>
        <w:t>Nona Tsotsoria,</w:t>
      </w:r>
      <w:r w:rsidRPr="00FE02B1">
        <w:rPr>
          <w:i/>
          <w:lang w:val="fr-FR"/>
        </w:rPr>
        <w:br/>
      </w:r>
      <w:r w:rsidRPr="00FE02B1">
        <w:rPr>
          <w:lang w:val="fr-FR"/>
        </w:rPr>
        <w:tab/>
        <w:t>Paul Mahoney,</w:t>
      </w:r>
      <w:r w:rsidRPr="00FE02B1">
        <w:rPr>
          <w:i/>
          <w:lang w:val="fr-FR"/>
        </w:rPr>
        <w:br/>
      </w:r>
      <w:r w:rsidRPr="00FE02B1">
        <w:rPr>
          <w:lang w:val="fr-FR"/>
        </w:rPr>
        <w:tab/>
        <w:t>Faris Vehabović,</w:t>
      </w:r>
      <w:r w:rsidRPr="00FE02B1">
        <w:rPr>
          <w:i/>
          <w:lang w:val="fr-FR"/>
        </w:rPr>
        <w:br/>
      </w:r>
      <w:r w:rsidRPr="00FE02B1">
        <w:rPr>
          <w:lang w:val="fr-FR"/>
        </w:rPr>
        <w:tab/>
        <w:t>Yonko Grozev,</w:t>
      </w:r>
      <w:r w:rsidRPr="00FE02B1">
        <w:rPr>
          <w:i/>
          <w:lang w:val="fr-FR"/>
        </w:rPr>
        <w:t xml:space="preserve"> juges,</w:t>
      </w:r>
    </w:p>
    <w:p w:rsidR="008B3A45" w:rsidRDefault="008B3A45" w:rsidP="00656E34">
      <w:pPr>
        <w:pStyle w:val="ECHRDecisionBody"/>
        <w:rPr>
          <w:i/>
          <w:lang w:val="fr-FR"/>
        </w:rPr>
      </w:pPr>
      <w:r w:rsidRPr="00E21176">
        <w:rPr>
          <w:lang w:val="fr-FR"/>
        </w:rPr>
        <w:t xml:space="preserve">et de </w:t>
      </w:r>
      <w:r w:rsidRPr="008B3A45">
        <w:rPr>
          <w:lang w:val="fr-FR"/>
        </w:rPr>
        <w:t xml:space="preserve">Fatoş Aracı, </w:t>
      </w:r>
      <w:r w:rsidRPr="008B3A45">
        <w:rPr>
          <w:i/>
          <w:lang w:val="fr-FR"/>
        </w:rPr>
        <w:t>greffière adjointe de section,</w:t>
      </w:r>
    </w:p>
    <w:p w:rsidR="008B3A45" w:rsidRPr="008B3A45" w:rsidRDefault="008B3A45" w:rsidP="008B3A45">
      <w:pPr>
        <w:pStyle w:val="ECHRPara"/>
        <w:rPr>
          <w:i/>
          <w:lang w:val="fr-FR"/>
        </w:rPr>
      </w:pPr>
      <w:r w:rsidRPr="00E21176">
        <w:rPr>
          <w:lang w:val="fr-FR"/>
        </w:rPr>
        <w:t xml:space="preserve">Vu la requête susmentionnée introduite le </w:t>
      </w:r>
      <w:r>
        <w:rPr>
          <w:lang w:val="fr-FR"/>
        </w:rPr>
        <w:t>8 mars 2013</w:t>
      </w:r>
      <w:r w:rsidRPr="00E21176">
        <w:rPr>
          <w:lang w:val="fr-FR"/>
        </w:rPr>
        <w:t>,</w:t>
      </w:r>
    </w:p>
    <w:p w:rsidR="008B3A45" w:rsidRPr="00E21176" w:rsidRDefault="008B3A45" w:rsidP="0099548A">
      <w:pPr>
        <w:pStyle w:val="ECHRPara"/>
        <w:rPr>
          <w:color w:val="000000"/>
          <w:lang w:val="fr-FR"/>
        </w:rPr>
      </w:pPr>
      <w:r w:rsidRPr="00E21176">
        <w:rPr>
          <w:lang w:val="fr-FR"/>
        </w:rPr>
        <w:t>Après en avoir délibéré, rend la décision suivante :</w:t>
      </w:r>
    </w:p>
    <w:p w:rsidR="008B3A45" w:rsidRPr="00E21176" w:rsidRDefault="008B3A45" w:rsidP="0099548A">
      <w:pPr>
        <w:pStyle w:val="ECHRTitle1"/>
        <w:rPr>
          <w:lang w:val="fr-FR"/>
        </w:rPr>
      </w:pPr>
      <w:r w:rsidRPr="00E21176">
        <w:rPr>
          <w:lang w:val="fr-FR"/>
        </w:rPr>
        <w:t>EN FAIT</w:t>
      </w:r>
    </w:p>
    <w:p w:rsidR="008B3A45" w:rsidRPr="00E21176" w:rsidRDefault="008B3A45" w:rsidP="0099548A">
      <w:pPr>
        <w:pStyle w:val="ECHRPara"/>
        <w:rPr>
          <w:lang w:val="fr-FR"/>
        </w:rPr>
      </w:pPr>
      <w:r>
        <w:rPr>
          <w:lang w:val="fr-FR"/>
        </w:rPr>
        <w:t>1.  </w:t>
      </w:r>
      <w:r w:rsidRPr="00E21176">
        <w:rPr>
          <w:lang w:val="fr-FR"/>
        </w:rPr>
        <w:t xml:space="preserve">Les requérants, </w:t>
      </w:r>
      <w:r>
        <w:rPr>
          <w:lang w:val="fr-FR"/>
        </w:rPr>
        <w:t>M.</w:t>
      </w:r>
      <w:r w:rsidRPr="00E21176">
        <w:rPr>
          <w:lang w:val="fr-FR"/>
        </w:rPr>
        <w:t xml:space="preserve"> </w:t>
      </w:r>
      <w:r>
        <w:rPr>
          <w:lang w:val="fr-FR"/>
        </w:rPr>
        <w:t>A.C.</w:t>
      </w:r>
      <w:r w:rsidRPr="00E21176">
        <w:rPr>
          <w:lang w:val="fr-FR"/>
        </w:rPr>
        <w:t xml:space="preserve"> et M</w:t>
      </w:r>
      <w:r w:rsidRPr="00AB05CA">
        <w:rPr>
          <w:vertAlign w:val="superscript"/>
          <w:lang w:val="fr-FR"/>
        </w:rPr>
        <w:t>me</w:t>
      </w:r>
      <w:r w:rsidRPr="00E21176">
        <w:rPr>
          <w:lang w:val="fr-FR"/>
        </w:rPr>
        <w:t xml:space="preserve"> </w:t>
      </w:r>
      <w:r>
        <w:rPr>
          <w:lang w:val="fr-FR"/>
        </w:rPr>
        <w:t>F.I.</w:t>
      </w:r>
      <w:r w:rsidRPr="00E21176">
        <w:rPr>
          <w:lang w:val="fr-FR"/>
        </w:rPr>
        <w:t xml:space="preserve">, sont des ressortissants </w:t>
      </w:r>
      <w:r>
        <w:rPr>
          <w:lang w:val="fr-FR"/>
        </w:rPr>
        <w:t xml:space="preserve">italiens, </w:t>
      </w:r>
      <w:r w:rsidRPr="00E21176">
        <w:rPr>
          <w:lang w:val="fr-FR"/>
        </w:rPr>
        <w:t xml:space="preserve">nés respectivement en </w:t>
      </w:r>
      <w:r>
        <w:rPr>
          <w:lang w:val="fr-FR"/>
        </w:rPr>
        <w:t>1959</w:t>
      </w:r>
      <w:r w:rsidRPr="00E21176">
        <w:rPr>
          <w:lang w:val="fr-FR"/>
        </w:rPr>
        <w:t xml:space="preserve"> et en </w:t>
      </w:r>
      <w:r>
        <w:rPr>
          <w:lang w:val="fr-FR"/>
        </w:rPr>
        <w:t>1961. Leur lieu de résidence n</w:t>
      </w:r>
      <w:r w:rsidR="00656E34">
        <w:rPr>
          <w:lang w:val="fr-FR"/>
        </w:rPr>
        <w:t>’</w:t>
      </w:r>
      <w:r>
        <w:rPr>
          <w:lang w:val="fr-FR"/>
        </w:rPr>
        <w:t>est pas connu</w:t>
      </w:r>
      <w:r w:rsidRPr="00E21176">
        <w:rPr>
          <w:lang w:val="fr-FR"/>
        </w:rPr>
        <w:t>. Ils ont été représentés devant la Cour par M</w:t>
      </w:r>
      <w:r w:rsidRPr="00E21176">
        <w:rPr>
          <w:vertAlign w:val="superscript"/>
          <w:lang w:val="fr-FR"/>
        </w:rPr>
        <w:t>e</w:t>
      </w:r>
      <w:r w:rsidRPr="00E21176">
        <w:rPr>
          <w:lang w:val="fr-FR"/>
        </w:rPr>
        <w:t> </w:t>
      </w:r>
      <w:r>
        <w:rPr>
          <w:lang w:val="fr-FR"/>
        </w:rPr>
        <w:t>A. Pettini</w:t>
      </w:r>
      <w:r w:rsidRPr="00E21176">
        <w:rPr>
          <w:lang w:val="fr-FR"/>
        </w:rPr>
        <w:t xml:space="preserve">, avocat à </w:t>
      </w:r>
      <w:r>
        <w:rPr>
          <w:lang w:val="fr-FR"/>
        </w:rPr>
        <w:t>Florence</w:t>
      </w:r>
      <w:r w:rsidRPr="00E21176">
        <w:rPr>
          <w:lang w:val="fr-FR"/>
        </w:rPr>
        <w:t>.</w:t>
      </w:r>
    </w:p>
    <w:p w:rsidR="008B3A45" w:rsidRPr="00E21176" w:rsidRDefault="008B3A45" w:rsidP="0099548A">
      <w:pPr>
        <w:pStyle w:val="ECHRHeading2"/>
        <w:rPr>
          <w:lang w:val="fr-FR"/>
        </w:rPr>
      </w:pPr>
      <w:r w:rsidRPr="00E21176">
        <w:rPr>
          <w:lang w:val="fr-FR"/>
        </w:rPr>
        <w:t>A.  Les circonstances de l</w:t>
      </w:r>
      <w:r w:rsidR="00656E34">
        <w:rPr>
          <w:lang w:val="fr-FR"/>
        </w:rPr>
        <w:t>’</w:t>
      </w:r>
      <w:r w:rsidRPr="00E21176">
        <w:rPr>
          <w:lang w:val="fr-FR"/>
        </w:rPr>
        <w:t>espèce</w:t>
      </w:r>
    </w:p>
    <w:p w:rsidR="008B3A45" w:rsidRDefault="008B3A45" w:rsidP="0099548A">
      <w:pPr>
        <w:pStyle w:val="ECHRPara"/>
        <w:rPr>
          <w:lang w:val="fr-FR"/>
        </w:rPr>
      </w:pPr>
      <w:r>
        <w:rPr>
          <w:lang w:val="fr-FR"/>
        </w:rPr>
        <w:t>2.  </w:t>
      </w:r>
      <w:r w:rsidRPr="00E21176">
        <w:rPr>
          <w:lang w:val="fr-FR"/>
        </w:rPr>
        <w:t>Les faits de la cause, tels qu</w:t>
      </w:r>
      <w:r w:rsidR="00656E34">
        <w:rPr>
          <w:lang w:val="fr-FR"/>
        </w:rPr>
        <w:t>’</w:t>
      </w:r>
      <w:r w:rsidRPr="00E21176">
        <w:rPr>
          <w:lang w:val="fr-FR"/>
        </w:rPr>
        <w:t>ils ont été exposés par les requérants, peuvent se résumer comme suit.</w:t>
      </w:r>
    </w:p>
    <w:p w:rsidR="008B3A45" w:rsidRDefault="008B3A45" w:rsidP="0099548A">
      <w:pPr>
        <w:pStyle w:val="ECHRPara"/>
        <w:rPr>
          <w:lang w:val="fr-FR"/>
        </w:rPr>
      </w:pPr>
      <w:r>
        <w:rPr>
          <w:lang w:val="fr-FR"/>
        </w:rPr>
        <w:t>3.  Les requérants sont un couple marié. En 1993 et 1995, ils ouvrirent un bar et une pizzeria dans deux communes de la province d</w:t>
      </w:r>
      <w:r w:rsidR="00656E34">
        <w:rPr>
          <w:lang w:val="fr-FR"/>
        </w:rPr>
        <w:t>’</w:t>
      </w:r>
      <w:r>
        <w:rPr>
          <w:lang w:val="fr-FR"/>
        </w:rPr>
        <w:t xml:space="preserve">Agrigente. Ces </w:t>
      </w:r>
      <w:r>
        <w:rPr>
          <w:lang w:val="fr-FR"/>
        </w:rPr>
        <w:lastRenderedPageBreak/>
        <w:t>activités commerciales généraient des profits, mais les requérants firent l</w:t>
      </w:r>
      <w:r w:rsidR="00656E34">
        <w:rPr>
          <w:lang w:val="fr-FR"/>
        </w:rPr>
        <w:t>’</w:t>
      </w:r>
      <w:r>
        <w:rPr>
          <w:lang w:val="fr-FR"/>
        </w:rPr>
        <w:t>objet de pressions de la part d</w:t>
      </w:r>
      <w:r w:rsidR="00656E34">
        <w:rPr>
          <w:lang w:val="fr-FR"/>
        </w:rPr>
        <w:t>’</w:t>
      </w:r>
      <w:r>
        <w:rPr>
          <w:lang w:val="fr-FR"/>
        </w:rPr>
        <w:t>organisations criminelles locales, qui voulaient les acquérir. Selon la version des requérants, deux homicides furent commis en mars et avril 1996 afin de les intimider.</w:t>
      </w:r>
    </w:p>
    <w:p w:rsidR="008B3A45" w:rsidRDefault="008B3A45" w:rsidP="0099548A">
      <w:pPr>
        <w:pStyle w:val="ECHRPara"/>
        <w:rPr>
          <w:lang w:val="fr-FR"/>
        </w:rPr>
      </w:pPr>
      <w:r>
        <w:rPr>
          <w:lang w:val="fr-FR"/>
        </w:rPr>
        <w:t>4.  Les requérants décidèrent alors de céder aux pressions et vendirent le bar à un prix (12 000 000 lires (ITL) – environ 6 197 euros (EUR)) inférieur à sa valeur marchande (90 000 000 ITL – environ 46 481 EUR). Ils signèrent en outre un compromis pour la vente de la pizzeria moyennant le prix de 38 000 000 ITL (environ 19 625 EUR).</w:t>
      </w:r>
    </w:p>
    <w:p w:rsidR="008B3A45" w:rsidRDefault="008B3A45" w:rsidP="0099548A">
      <w:pPr>
        <w:pStyle w:val="ECHRPara"/>
        <w:rPr>
          <w:lang w:val="fr-FR"/>
        </w:rPr>
      </w:pPr>
      <w:r>
        <w:rPr>
          <w:lang w:val="fr-FR"/>
        </w:rPr>
        <w:t>5.  En octobre 1996, la requérante décida de porter plainte, ce qui conduisit à l</w:t>
      </w:r>
      <w:r w:rsidR="00656E34">
        <w:rPr>
          <w:lang w:val="fr-FR"/>
        </w:rPr>
        <w:t>’</w:t>
      </w:r>
      <w:r>
        <w:rPr>
          <w:lang w:val="fr-FR"/>
        </w:rPr>
        <w:t>arrestation des personnes responsables des homicides. En mai 1998, les requérants, qui avaient entre-temps reçu de nombreuses menaces de mort, furent insérés dans le programme de protection des témoins prévu par la loi n</w:t>
      </w:r>
      <w:r w:rsidRPr="008B3A45">
        <w:rPr>
          <w:vertAlign w:val="superscript"/>
          <w:lang w:val="fr-FR"/>
        </w:rPr>
        <w:t>o</w:t>
      </w:r>
      <w:r>
        <w:rPr>
          <w:lang w:val="fr-FR"/>
        </w:rPr>
        <w:t xml:space="preserve"> 82 du 15 mars 1991. Par conséquent, les requérants et leur deux enfants furent transférés dans des lieux lointains et secrets.</w:t>
      </w:r>
    </w:p>
    <w:p w:rsidR="008B3A45" w:rsidRDefault="008B3A45" w:rsidP="0099548A">
      <w:pPr>
        <w:pStyle w:val="ECHRPara"/>
        <w:rPr>
          <w:lang w:val="fr-FR"/>
        </w:rPr>
      </w:pPr>
      <w:bookmarkStart w:id="1" w:name="articolo16"/>
      <w:r>
        <w:rPr>
          <w:lang w:val="fr-FR"/>
        </w:rPr>
        <w:t>6</w:t>
      </w:r>
      <w:bookmarkEnd w:id="1"/>
      <w:r>
        <w:rPr>
          <w:lang w:val="fr-FR"/>
        </w:rPr>
        <w:t>.  Aux termes de l</w:t>
      </w:r>
      <w:r w:rsidR="00656E34">
        <w:rPr>
          <w:lang w:val="fr-FR"/>
        </w:rPr>
        <w:t>’</w:t>
      </w:r>
      <w:r>
        <w:rPr>
          <w:lang w:val="fr-FR"/>
        </w:rPr>
        <w:t>article 16</w:t>
      </w:r>
      <w:r>
        <w:rPr>
          <w:i/>
          <w:lang w:val="fr-FR"/>
        </w:rPr>
        <w:t xml:space="preserve">ter </w:t>
      </w:r>
      <w:r>
        <w:rPr>
          <w:lang w:val="fr-FR"/>
        </w:rPr>
        <w:t>§ 1 de la loi n</w:t>
      </w:r>
      <w:r w:rsidRPr="008B3A45">
        <w:rPr>
          <w:vertAlign w:val="superscript"/>
          <w:lang w:val="fr-FR"/>
        </w:rPr>
        <w:t>o</w:t>
      </w:r>
      <w:r>
        <w:rPr>
          <w:lang w:val="fr-FR"/>
        </w:rPr>
        <w:t xml:space="preserve"> 82 de 1991,</w:t>
      </w:r>
    </w:p>
    <w:p w:rsidR="008B3A45" w:rsidRDefault="008B3A45" w:rsidP="0099548A">
      <w:pPr>
        <w:pStyle w:val="ECHRParaQuote"/>
        <w:rPr>
          <w:lang w:val="fr-FR"/>
        </w:rPr>
      </w:pPr>
      <w:r>
        <w:rPr>
          <w:lang w:val="fr-FR"/>
        </w:rPr>
        <w:t>« Les témoins de justice auxquels est appliqué le programme spécial de protection ont droit :</w:t>
      </w:r>
    </w:p>
    <w:p w:rsidR="008B3A45" w:rsidRDefault="008B3A45" w:rsidP="0099548A">
      <w:pPr>
        <w:pStyle w:val="ECHRParaQuote"/>
        <w:rPr>
          <w:lang w:val="fr-FR"/>
        </w:rPr>
      </w:pPr>
      <w:r>
        <w:rPr>
          <w:lang w:val="fr-FR"/>
        </w:rPr>
        <w:t>a) à des mesures de protection jusqu</w:t>
      </w:r>
      <w:r w:rsidR="00656E34">
        <w:rPr>
          <w:lang w:val="fr-FR"/>
        </w:rPr>
        <w:t>’</w:t>
      </w:r>
      <w:r>
        <w:rPr>
          <w:lang w:val="fr-FR"/>
        </w:rPr>
        <w:t>à la cessation effective du danger pour eux et pour les membres de leurs familles ;</w:t>
      </w:r>
    </w:p>
    <w:p w:rsidR="008B3A45" w:rsidRDefault="008B3A45" w:rsidP="0099548A">
      <w:pPr>
        <w:pStyle w:val="ECHRParaQuote"/>
        <w:rPr>
          <w:lang w:val="fr-FR"/>
        </w:rPr>
      </w:pPr>
      <w:r>
        <w:rPr>
          <w:lang w:val="fr-FR"/>
        </w:rPr>
        <w:t>b) à des mesures d</w:t>
      </w:r>
      <w:r w:rsidR="00656E34">
        <w:rPr>
          <w:lang w:val="fr-FR"/>
        </w:rPr>
        <w:t>’</w:t>
      </w:r>
      <w:r>
        <w:rPr>
          <w:lang w:val="fr-FR"/>
        </w:rPr>
        <w:t>assistance, même après la cessation de la protection, visant à garantir un niveau de vie personnelle et familiale non inférieur à celui qu</w:t>
      </w:r>
      <w:r w:rsidR="00656E34">
        <w:rPr>
          <w:lang w:val="fr-FR"/>
        </w:rPr>
        <w:t>’</w:t>
      </w:r>
      <w:r>
        <w:rPr>
          <w:lang w:val="fr-FR"/>
        </w:rPr>
        <w:t>ils avaient avant le début du programme, jusqu</w:t>
      </w:r>
      <w:r w:rsidR="00656E34">
        <w:rPr>
          <w:lang w:val="fr-FR"/>
        </w:rPr>
        <w:t>’</w:t>
      </w:r>
      <w:r>
        <w:rPr>
          <w:lang w:val="fr-FR"/>
        </w:rPr>
        <w:t>à ce qu</w:t>
      </w:r>
      <w:r w:rsidR="00656E34">
        <w:rPr>
          <w:lang w:val="fr-FR"/>
        </w:rPr>
        <w:t>’</w:t>
      </w:r>
      <w:r>
        <w:rPr>
          <w:lang w:val="fr-FR"/>
        </w:rPr>
        <w:t>ils aient à nouveau la possibilité d</w:t>
      </w:r>
      <w:r w:rsidR="00656E34">
        <w:rPr>
          <w:lang w:val="fr-FR"/>
        </w:rPr>
        <w:t>’</w:t>
      </w:r>
      <w:r>
        <w:rPr>
          <w:lang w:val="fr-FR"/>
        </w:rPr>
        <w:t>avoir un revenu propre ;</w:t>
      </w:r>
    </w:p>
    <w:p w:rsidR="008B3A45" w:rsidRDefault="008B3A45" w:rsidP="0099548A">
      <w:pPr>
        <w:pStyle w:val="ECHRParaQuote"/>
        <w:rPr>
          <w:lang w:val="fr-FR"/>
        </w:rPr>
      </w:pPr>
      <w:r>
        <w:rPr>
          <w:lang w:val="fr-FR"/>
        </w:rPr>
        <w:t>c) à la capitalisation du coût de l</w:t>
      </w:r>
      <w:r w:rsidR="00656E34">
        <w:rPr>
          <w:lang w:val="fr-FR"/>
        </w:rPr>
        <w:t>’</w:t>
      </w:r>
      <w:r>
        <w:rPr>
          <w:lang w:val="fr-FR"/>
        </w:rPr>
        <w:t>assistance, en alternative à celle-ci ;</w:t>
      </w:r>
    </w:p>
    <w:p w:rsidR="008B3A45" w:rsidRDefault="008B3A45" w:rsidP="0099548A">
      <w:pPr>
        <w:pStyle w:val="ECHRParaQuote"/>
        <w:rPr>
          <w:lang w:val="fr-FR"/>
        </w:rPr>
      </w:pPr>
      <w:r>
        <w:rPr>
          <w:lang w:val="fr-FR"/>
        </w:rPr>
        <w:t>d) au maintien de leur poste s</w:t>
      </w:r>
      <w:r w:rsidR="00656E34">
        <w:rPr>
          <w:lang w:val="fr-FR"/>
        </w:rPr>
        <w:t>’</w:t>
      </w:r>
      <w:r>
        <w:rPr>
          <w:lang w:val="fr-FR"/>
        </w:rPr>
        <w:t>ils étaient fonctionnaires publics (...) ;</w:t>
      </w:r>
    </w:p>
    <w:p w:rsidR="008B3A45" w:rsidRDefault="008B3A45" w:rsidP="0099548A">
      <w:pPr>
        <w:pStyle w:val="ECHRParaQuote"/>
        <w:rPr>
          <w:lang w:val="fr-FR"/>
        </w:rPr>
      </w:pPr>
      <w:r>
        <w:rPr>
          <w:lang w:val="fr-FR"/>
        </w:rPr>
        <w:t>e) au versement d</w:t>
      </w:r>
      <w:r w:rsidR="00656E34">
        <w:rPr>
          <w:lang w:val="fr-FR"/>
        </w:rPr>
        <w:t>’</w:t>
      </w:r>
      <w:r>
        <w:rPr>
          <w:lang w:val="fr-FR"/>
        </w:rPr>
        <w:t>une somme à titre de manque à gagner, calculée par la commission, découlant de la cessation de l</w:t>
      </w:r>
      <w:r w:rsidR="00656E34">
        <w:rPr>
          <w:lang w:val="fr-FR"/>
        </w:rPr>
        <w:t>’</w:t>
      </w:r>
      <w:r>
        <w:rPr>
          <w:lang w:val="fr-FR"/>
        </w:rPr>
        <w:t>activité de travail [des témoins] et des membres de leur famille (...) ;</w:t>
      </w:r>
    </w:p>
    <w:p w:rsidR="008B3A45" w:rsidRDefault="008B3A45" w:rsidP="0099548A">
      <w:pPr>
        <w:pStyle w:val="ECHRParaQuote"/>
        <w:rPr>
          <w:lang w:val="fr-FR"/>
        </w:rPr>
      </w:pPr>
      <w:r>
        <w:rPr>
          <w:lang w:val="fr-FR"/>
        </w:rPr>
        <w:t>f) à des prêts à des taux avantageux (</w:t>
      </w:r>
      <w:r>
        <w:rPr>
          <w:i/>
          <w:lang w:val="fr-FR"/>
        </w:rPr>
        <w:t>mutui agevolati</w:t>
      </w:r>
      <w:r>
        <w:rPr>
          <w:lang w:val="fr-FR"/>
        </w:rPr>
        <w:t>) visant la réinsertion complète [des témoins] et des membres de leurs familles dans la vie économique et sociale. »</w:t>
      </w:r>
    </w:p>
    <w:p w:rsidR="008B3A45" w:rsidRDefault="008B3A45" w:rsidP="0099548A">
      <w:pPr>
        <w:pStyle w:val="ECHRPara"/>
        <w:rPr>
          <w:lang w:val="fr-FR"/>
        </w:rPr>
      </w:pPr>
      <w:r>
        <w:rPr>
          <w:lang w:val="fr-FR"/>
        </w:rPr>
        <w:t>7.  S</w:t>
      </w:r>
      <w:r w:rsidR="00656E34">
        <w:rPr>
          <w:lang w:val="fr-FR"/>
        </w:rPr>
        <w:t>’</w:t>
      </w:r>
      <w:r>
        <w:rPr>
          <w:lang w:val="fr-FR"/>
        </w:rPr>
        <w:t>appuyant sur cette disposition, le 11 avril 2005, les requérants demandèrent : a) la capitalisation du coût de l</w:t>
      </w:r>
      <w:r w:rsidR="00656E34">
        <w:rPr>
          <w:lang w:val="fr-FR"/>
        </w:rPr>
        <w:t>’</w:t>
      </w:r>
      <w:r>
        <w:rPr>
          <w:lang w:val="fr-FR"/>
        </w:rPr>
        <w:t>assistance ; b) une somme à titre de manque à gagner ; et c) une somme à titre de réparation des dommages matériels et moraux subis à la suite de leur insertion dans le programme de protection. Au total, les requérants demandaient la somme de 950 000 EUR.</w:t>
      </w:r>
    </w:p>
    <w:p w:rsidR="008B3A45" w:rsidRDefault="008B3A45" w:rsidP="0099548A">
      <w:pPr>
        <w:pStyle w:val="ECHRPara"/>
        <w:rPr>
          <w:lang w:val="fr-FR"/>
        </w:rPr>
      </w:pPr>
      <w:r>
        <w:rPr>
          <w:lang w:val="fr-FR"/>
        </w:rPr>
        <w:t>8.  La demande des requérants fut examinée par la commission centrale pour la fixation et application de mesures spéciales de protection prévue par l</w:t>
      </w:r>
      <w:r w:rsidR="00656E34">
        <w:rPr>
          <w:lang w:val="fr-FR"/>
        </w:rPr>
        <w:t>’</w:t>
      </w:r>
      <w:r>
        <w:rPr>
          <w:lang w:val="fr-FR"/>
        </w:rPr>
        <w:t>article 10 de la loi n</w:t>
      </w:r>
      <w:r w:rsidRPr="008B3A45">
        <w:rPr>
          <w:vertAlign w:val="superscript"/>
          <w:lang w:val="fr-FR"/>
        </w:rPr>
        <w:t>o</w:t>
      </w:r>
      <w:r>
        <w:rPr>
          <w:lang w:val="fr-FR"/>
        </w:rPr>
        <w:t xml:space="preserve"> 82 de 1991 (ci-après, la « commission </w:t>
      </w:r>
      <w:r>
        <w:rPr>
          <w:i/>
          <w:lang w:val="fr-FR"/>
        </w:rPr>
        <w:t>ad hoc</w:t>
      </w:r>
      <w:r>
        <w:rPr>
          <w:lang w:val="fr-FR"/>
        </w:rPr>
        <w:t> »).</w:t>
      </w:r>
    </w:p>
    <w:p w:rsidR="008B3A45" w:rsidRDefault="008B3A45" w:rsidP="0099548A">
      <w:pPr>
        <w:pStyle w:val="ECHRPara"/>
        <w:rPr>
          <w:lang w:val="fr-FR"/>
        </w:rPr>
      </w:pPr>
      <w:bookmarkStart w:id="2" w:name="decisioncommissionadhoc"/>
      <w:r>
        <w:rPr>
          <w:lang w:val="fr-FR"/>
        </w:rPr>
        <w:t>9</w:t>
      </w:r>
      <w:bookmarkEnd w:id="2"/>
      <w:r>
        <w:rPr>
          <w:lang w:val="fr-FR"/>
        </w:rPr>
        <w:t>.  Par une décision n</w:t>
      </w:r>
      <w:r w:rsidRPr="008B3A45">
        <w:rPr>
          <w:vertAlign w:val="superscript"/>
          <w:lang w:val="fr-FR"/>
        </w:rPr>
        <w:t>o</w:t>
      </w:r>
      <w:r>
        <w:rPr>
          <w:lang w:val="fr-FR"/>
        </w:rPr>
        <w:t xml:space="preserve"> 82 du 19 octobre 2005, la commission </w:t>
      </w:r>
      <w:r>
        <w:rPr>
          <w:i/>
          <w:lang w:val="fr-FR"/>
        </w:rPr>
        <w:t>ad hoc</w:t>
      </w:r>
      <w:r>
        <w:rPr>
          <w:lang w:val="fr-FR"/>
        </w:rPr>
        <w:t xml:space="preserve"> accueillit seulement en partie la demande des requérants. Elle leur octroya 267 400 EUR à titre de capitalisation du coût de l</w:t>
      </w:r>
      <w:r w:rsidR="00656E34">
        <w:rPr>
          <w:lang w:val="fr-FR"/>
        </w:rPr>
        <w:t>’</w:t>
      </w:r>
      <w:r>
        <w:rPr>
          <w:lang w:val="fr-FR"/>
        </w:rPr>
        <w:t>assistance (article 16</w:t>
      </w:r>
      <w:r>
        <w:rPr>
          <w:i/>
          <w:lang w:val="fr-FR"/>
        </w:rPr>
        <w:t xml:space="preserve">ter </w:t>
      </w:r>
      <w:r>
        <w:rPr>
          <w:lang w:val="fr-FR"/>
        </w:rPr>
        <w:lastRenderedPageBreak/>
        <w:t>§ 1 c) de la loi n</w:t>
      </w:r>
      <w:r w:rsidRPr="008B3A45">
        <w:rPr>
          <w:vertAlign w:val="superscript"/>
          <w:lang w:val="fr-FR"/>
        </w:rPr>
        <w:t>o</w:t>
      </w:r>
      <w:r>
        <w:rPr>
          <w:lang w:val="fr-FR"/>
        </w:rPr>
        <w:t xml:space="preserve"> 82 de 1991), spécifiant qu</w:t>
      </w:r>
      <w:r w:rsidR="00656E34">
        <w:rPr>
          <w:lang w:val="fr-FR"/>
        </w:rPr>
        <w:t>’</w:t>
      </w:r>
      <w:r>
        <w:rPr>
          <w:lang w:val="fr-FR"/>
        </w:rPr>
        <w:t>aux termes du décret ministériel n</w:t>
      </w:r>
      <w:r w:rsidRPr="008B3A45">
        <w:rPr>
          <w:vertAlign w:val="superscript"/>
          <w:lang w:val="fr-FR"/>
        </w:rPr>
        <w:t>o</w:t>
      </w:r>
      <w:r>
        <w:rPr>
          <w:lang w:val="fr-FR"/>
        </w:rPr>
        <w:t xml:space="preserve"> 161 du 23 avril 2004, cette capitalisation devait être limitée à une période de dix ans. La commission </w:t>
      </w:r>
      <w:r>
        <w:rPr>
          <w:i/>
          <w:lang w:val="fr-FR"/>
        </w:rPr>
        <w:t xml:space="preserve">ad hoc </w:t>
      </w:r>
      <w:r>
        <w:rPr>
          <w:lang w:val="fr-FR"/>
        </w:rPr>
        <w:t>fixa en outre à 90 796 EUR la somme due à titre de préjudice moral (</w:t>
      </w:r>
      <w:r>
        <w:rPr>
          <w:i/>
          <w:lang w:val="fr-FR"/>
        </w:rPr>
        <w:t>danno biologico</w:t>
      </w:r>
      <w:r>
        <w:rPr>
          <w:lang w:val="fr-FR"/>
        </w:rPr>
        <w:t>) pour les requérants et leurs enfants. Elle appliqua en outre une retenue de 10 000 EUR pour le paiement de factures non honorées et pour compenser les dégâts que les intéressés avaient provoqués à l</w:t>
      </w:r>
      <w:r w:rsidR="00656E34">
        <w:rPr>
          <w:lang w:val="fr-FR"/>
        </w:rPr>
        <w:t>’</w:t>
      </w:r>
      <w:r>
        <w:rPr>
          <w:lang w:val="fr-FR"/>
        </w:rPr>
        <w:t>immeuble où ils étaient hébergés.</w:t>
      </w:r>
    </w:p>
    <w:p w:rsidR="008B3A45" w:rsidRDefault="008B3A45" w:rsidP="0099548A">
      <w:pPr>
        <w:pStyle w:val="ECHRPara"/>
        <w:rPr>
          <w:lang w:val="fr-FR"/>
        </w:rPr>
      </w:pPr>
      <w:r>
        <w:rPr>
          <w:lang w:val="fr-FR"/>
        </w:rPr>
        <w:t xml:space="preserve">10.  Les requérants attaquèrent la décision de la commission </w:t>
      </w:r>
      <w:r>
        <w:rPr>
          <w:i/>
          <w:lang w:val="fr-FR"/>
        </w:rPr>
        <w:t xml:space="preserve">ad hoc </w:t>
      </w:r>
      <w:r>
        <w:rPr>
          <w:lang w:val="fr-FR"/>
        </w:rPr>
        <w:t xml:space="preserve">devant le tribunal administratif régional (ci-après, le « TAR ») du Latium. Ils alléguaient, entre autres, que la commission </w:t>
      </w:r>
      <w:r>
        <w:rPr>
          <w:i/>
          <w:lang w:val="fr-FR"/>
        </w:rPr>
        <w:t xml:space="preserve">ad hoc </w:t>
      </w:r>
      <w:r>
        <w:rPr>
          <w:lang w:val="fr-FR"/>
        </w:rPr>
        <w:t>avait adopté sa décision de manière unilatérale, sans leur donner la possibilité de présenter leurs arguments, qu</w:t>
      </w:r>
      <w:r w:rsidR="00656E34">
        <w:rPr>
          <w:lang w:val="fr-FR"/>
        </w:rPr>
        <w:t>’</w:t>
      </w:r>
      <w:r>
        <w:rPr>
          <w:lang w:val="fr-FR"/>
        </w:rPr>
        <w:t>elle n</w:t>
      </w:r>
      <w:r w:rsidR="00656E34">
        <w:rPr>
          <w:lang w:val="fr-FR"/>
        </w:rPr>
        <w:t>’</w:t>
      </w:r>
      <w:r>
        <w:rPr>
          <w:lang w:val="fr-FR"/>
        </w:rPr>
        <w:t>avait octroyé aucune somme à titre de manque à gagner et qu</w:t>
      </w:r>
      <w:r w:rsidR="00656E34">
        <w:rPr>
          <w:lang w:val="fr-FR"/>
        </w:rPr>
        <w:t>’</w:t>
      </w:r>
      <w:r>
        <w:rPr>
          <w:lang w:val="fr-FR"/>
        </w:rPr>
        <w:t>elle n</w:t>
      </w:r>
      <w:r w:rsidR="00656E34">
        <w:rPr>
          <w:lang w:val="fr-FR"/>
        </w:rPr>
        <w:t>’</w:t>
      </w:r>
      <w:r>
        <w:rPr>
          <w:lang w:val="fr-FR"/>
        </w:rPr>
        <w:t>avait pas dûment tenu compte de leur niveau de vie avant l</w:t>
      </w:r>
      <w:r w:rsidR="00656E34">
        <w:rPr>
          <w:lang w:val="fr-FR"/>
        </w:rPr>
        <w:t>’</w:t>
      </w:r>
      <w:r>
        <w:rPr>
          <w:lang w:val="fr-FR"/>
        </w:rPr>
        <w:t>insertion dans le programme de protection. Selon les requérants, la décision incriminée s</w:t>
      </w:r>
      <w:r w:rsidR="00656E34">
        <w:rPr>
          <w:lang w:val="fr-FR"/>
        </w:rPr>
        <w:t>’</w:t>
      </w:r>
      <w:r>
        <w:rPr>
          <w:lang w:val="fr-FR"/>
        </w:rPr>
        <w:t>analysait en une injustice manifeste, étant donné que leur famille avait peu de possibilités de réinsertion sociale et qu</w:t>
      </w:r>
      <w:r w:rsidR="00656E34">
        <w:rPr>
          <w:lang w:val="fr-FR"/>
        </w:rPr>
        <w:t>’</w:t>
      </w:r>
      <w:r>
        <w:rPr>
          <w:lang w:val="fr-FR"/>
        </w:rPr>
        <w:t>elle ne pouvait pas recouvrir le niveau de vie antécédent à l</w:t>
      </w:r>
      <w:r w:rsidR="00656E34">
        <w:rPr>
          <w:lang w:val="fr-FR"/>
        </w:rPr>
        <w:t>’</w:t>
      </w:r>
      <w:r>
        <w:rPr>
          <w:lang w:val="fr-FR"/>
        </w:rPr>
        <w:t>application de la loi n</w:t>
      </w:r>
      <w:r w:rsidRPr="008B3A45">
        <w:rPr>
          <w:vertAlign w:val="superscript"/>
          <w:lang w:val="fr-FR"/>
        </w:rPr>
        <w:t>o</w:t>
      </w:r>
      <w:r w:rsidR="00DD3ED5">
        <w:rPr>
          <w:lang w:val="fr-FR"/>
        </w:rPr>
        <w:t> </w:t>
      </w:r>
      <w:r>
        <w:rPr>
          <w:lang w:val="fr-FR"/>
        </w:rPr>
        <w:t>82 de 1991.</w:t>
      </w:r>
    </w:p>
    <w:p w:rsidR="008B3A45" w:rsidRDefault="008B3A45" w:rsidP="0099548A">
      <w:pPr>
        <w:pStyle w:val="ECHRPara"/>
        <w:rPr>
          <w:lang w:val="fr-FR"/>
        </w:rPr>
      </w:pPr>
      <w:r>
        <w:rPr>
          <w:lang w:val="fr-FR"/>
        </w:rPr>
        <w:t>11.  Par un jugement du 10 novembre 2011, dont le texte fut déposé au greffe le 5 mars 2012, le TAR du Latium rejeta le recours des requérants.</w:t>
      </w:r>
    </w:p>
    <w:p w:rsidR="008B3A45" w:rsidRDefault="008B3A45" w:rsidP="0099548A">
      <w:pPr>
        <w:pStyle w:val="ECHRPara"/>
        <w:rPr>
          <w:lang w:val="fr-FR"/>
        </w:rPr>
      </w:pPr>
      <w:bookmarkStart w:id="3" w:name="audizionicommissioneadhoc"/>
      <w:r>
        <w:rPr>
          <w:lang w:val="fr-FR"/>
        </w:rPr>
        <w:t>12</w:t>
      </w:r>
      <w:bookmarkEnd w:id="3"/>
      <w:r>
        <w:rPr>
          <w:lang w:val="fr-FR"/>
        </w:rPr>
        <w:t>.  Le TAR observa tout d</w:t>
      </w:r>
      <w:r w:rsidR="00656E34">
        <w:rPr>
          <w:lang w:val="fr-FR"/>
        </w:rPr>
        <w:t>’</w:t>
      </w:r>
      <w:r>
        <w:rPr>
          <w:lang w:val="fr-FR"/>
        </w:rPr>
        <w:t xml:space="preserve">abord que la commission </w:t>
      </w:r>
      <w:r>
        <w:rPr>
          <w:i/>
          <w:lang w:val="fr-FR"/>
        </w:rPr>
        <w:t xml:space="preserve">ad hoc </w:t>
      </w:r>
      <w:r>
        <w:rPr>
          <w:lang w:val="fr-FR"/>
        </w:rPr>
        <w:t>avait entendu à deux reprises les requérants, qui avaient ainsi eu l</w:t>
      </w:r>
      <w:r w:rsidR="00656E34">
        <w:rPr>
          <w:lang w:val="fr-FR"/>
        </w:rPr>
        <w:t>’</w:t>
      </w:r>
      <w:r>
        <w:rPr>
          <w:lang w:val="fr-FR"/>
        </w:rPr>
        <w:t>occasion d</w:t>
      </w:r>
      <w:r w:rsidR="00656E34">
        <w:rPr>
          <w:lang w:val="fr-FR"/>
        </w:rPr>
        <w:t>’</w:t>
      </w:r>
      <w:r>
        <w:rPr>
          <w:lang w:val="fr-FR"/>
        </w:rPr>
        <w:t>exposer leur projet d</w:t>
      </w:r>
      <w:r w:rsidR="00656E34">
        <w:rPr>
          <w:lang w:val="fr-FR"/>
        </w:rPr>
        <w:t>’</w:t>
      </w:r>
      <w:r>
        <w:rPr>
          <w:lang w:val="fr-FR"/>
        </w:rPr>
        <w:t xml:space="preserve">entamer une nouvelle activité commerciale dans le secteur de la restauration. Il ressortait des procès-verbaux de ces auditions que le Président de la commission </w:t>
      </w:r>
      <w:r>
        <w:rPr>
          <w:i/>
          <w:lang w:val="fr-FR"/>
        </w:rPr>
        <w:t xml:space="preserve">ad hoc </w:t>
      </w:r>
      <w:r>
        <w:rPr>
          <w:lang w:val="fr-FR"/>
        </w:rPr>
        <w:t>avait précisé que les demandes formulées par les requérants (695 000 EUR pour l</w:t>
      </w:r>
      <w:r w:rsidR="00656E34">
        <w:rPr>
          <w:lang w:val="fr-FR"/>
        </w:rPr>
        <w:t>’</w:t>
      </w:r>
      <w:r>
        <w:rPr>
          <w:lang w:val="fr-FR"/>
        </w:rPr>
        <w:t>acquisition de locaux destinés à la restauration, 525 416,53 EUR pour l</w:t>
      </w:r>
      <w:r w:rsidR="00656E34">
        <w:rPr>
          <w:lang w:val="fr-FR"/>
        </w:rPr>
        <w:t>’</w:t>
      </w:r>
      <w:r>
        <w:rPr>
          <w:lang w:val="fr-FR"/>
        </w:rPr>
        <w:t>acquisition d</w:t>
      </w:r>
      <w:r w:rsidR="00656E34">
        <w:rPr>
          <w:lang w:val="fr-FR"/>
        </w:rPr>
        <w:t>’</w:t>
      </w:r>
      <w:r>
        <w:rPr>
          <w:lang w:val="fr-FR"/>
        </w:rPr>
        <w:t>un appartement et 487 484 EUR pour l</w:t>
      </w:r>
      <w:r w:rsidR="00656E34">
        <w:rPr>
          <w:lang w:val="fr-FR"/>
        </w:rPr>
        <w:t>’</w:t>
      </w:r>
      <w:r>
        <w:rPr>
          <w:lang w:val="fr-FR"/>
        </w:rPr>
        <w:t>acquisition d</w:t>
      </w:r>
      <w:r w:rsidR="00656E34">
        <w:rPr>
          <w:lang w:val="fr-FR"/>
        </w:rPr>
        <w:t>’</w:t>
      </w:r>
      <w:r>
        <w:rPr>
          <w:lang w:val="fr-FR"/>
        </w:rPr>
        <w:t>une revente de tabac et journaux) étaient bien supérieures aux montants que la commission pouvait octroyer et qui avaient été versés dans des cas analogues.</w:t>
      </w:r>
    </w:p>
    <w:p w:rsidR="008B3A45" w:rsidRDefault="008B3A45" w:rsidP="0099548A">
      <w:pPr>
        <w:pStyle w:val="ECHRPara"/>
        <w:rPr>
          <w:lang w:val="fr-FR"/>
        </w:rPr>
      </w:pPr>
      <w:bookmarkStart w:id="4" w:name="pizzeria"/>
      <w:r>
        <w:rPr>
          <w:lang w:val="fr-FR"/>
        </w:rPr>
        <w:t>13</w:t>
      </w:r>
      <w:bookmarkEnd w:id="4"/>
      <w:r>
        <w:rPr>
          <w:lang w:val="fr-FR"/>
        </w:rPr>
        <w:t xml:space="preserve">.  Pour ce qui était du manque à gagner, le TAR nota que la commission </w:t>
      </w:r>
      <w:r>
        <w:rPr>
          <w:i/>
          <w:lang w:val="fr-FR"/>
        </w:rPr>
        <w:t xml:space="preserve">ad hoc </w:t>
      </w:r>
      <w:r>
        <w:rPr>
          <w:lang w:val="fr-FR"/>
        </w:rPr>
        <w:t>s</w:t>
      </w:r>
      <w:r w:rsidR="00656E34">
        <w:rPr>
          <w:lang w:val="fr-FR"/>
        </w:rPr>
        <w:t>’</w:t>
      </w:r>
      <w:r>
        <w:rPr>
          <w:lang w:val="fr-FR"/>
        </w:rPr>
        <w:t>était basée sur les vérifications accomplies par le service central de protection.</w:t>
      </w:r>
      <w:r w:rsidR="00CA2ADB">
        <w:rPr>
          <w:lang w:val="fr-FR"/>
        </w:rPr>
        <w:t xml:space="preserve"> </w:t>
      </w:r>
      <w:r>
        <w:rPr>
          <w:lang w:val="fr-FR"/>
        </w:rPr>
        <w:t>Par ailleurs, les requérants avaient déclaré de ne pas disposer des documents fiscaux et comptables relatifs à leurs activités commerciales antérieures à leur insertion dans le programme de protection et de ne pas se souvenir du montant des profits engendrés par la pizzeria, dans laquelle ils n</w:t>
      </w:r>
      <w:r w:rsidR="00656E34">
        <w:rPr>
          <w:lang w:val="fr-FR"/>
        </w:rPr>
        <w:t>’</w:t>
      </w:r>
      <w:r>
        <w:rPr>
          <w:lang w:val="fr-FR"/>
        </w:rPr>
        <w:t xml:space="preserve">avaient travaillé que pendant cinq mois. Dans ces circonstances, le TAR estima que les requérants avaient omis de fournir à la commission </w:t>
      </w:r>
      <w:r>
        <w:rPr>
          <w:i/>
          <w:lang w:val="fr-FR"/>
        </w:rPr>
        <w:t>ad hoc</w:t>
      </w:r>
      <w:r>
        <w:rPr>
          <w:lang w:val="fr-FR"/>
        </w:rPr>
        <w:t xml:space="preserve"> les éléments nécessaires pour établir l</w:t>
      </w:r>
      <w:r w:rsidR="00656E34">
        <w:rPr>
          <w:lang w:val="fr-FR"/>
        </w:rPr>
        <w:t>’</w:t>
      </w:r>
      <w:r>
        <w:rPr>
          <w:lang w:val="fr-FR"/>
        </w:rPr>
        <w:t>existence d</w:t>
      </w:r>
      <w:r w:rsidR="00656E34">
        <w:rPr>
          <w:lang w:val="fr-FR"/>
        </w:rPr>
        <w:t>’</w:t>
      </w:r>
      <w:r>
        <w:rPr>
          <w:lang w:val="fr-FR"/>
        </w:rPr>
        <w:t>un manque à gagner. De plus, il ressortait des informations fournies par les services fiscaux compétents ainsi que du contexte socio-économique de référence que les conditions pour l</w:t>
      </w:r>
      <w:r w:rsidR="00656E34">
        <w:rPr>
          <w:lang w:val="fr-FR"/>
        </w:rPr>
        <w:t>’</w:t>
      </w:r>
      <w:r>
        <w:rPr>
          <w:lang w:val="fr-FR"/>
        </w:rPr>
        <w:t>octroi d</w:t>
      </w:r>
      <w:r w:rsidR="00656E34">
        <w:rPr>
          <w:lang w:val="fr-FR"/>
        </w:rPr>
        <w:t>’</w:t>
      </w:r>
      <w:r>
        <w:rPr>
          <w:lang w:val="fr-FR"/>
        </w:rPr>
        <w:t>une somme à titre de manque à gagner n</w:t>
      </w:r>
      <w:r w:rsidR="00656E34">
        <w:rPr>
          <w:lang w:val="fr-FR"/>
        </w:rPr>
        <w:t>’</w:t>
      </w:r>
      <w:r>
        <w:rPr>
          <w:lang w:val="fr-FR"/>
        </w:rPr>
        <w:t>étaient pas remplies.</w:t>
      </w:r>
    </w:p>
    <w:p w:rsidR="008B3A45" w:rsidRDefault="008B3A45" w:rsidP="0099548A">
      <w:pPr>
        <w:pStyle w:val="ECHRPara"/>
        <w:rPr>
          <w:lang w:val="fr-FR"/>
        </w:rPr>
      </w:pPr>
      <w:bookmarkStart w:id="5" w:name="bar"/>
      <w:r>
        <w:rPr>
          <w:lang w:val="fr-FR"/>
        </w:rPr>
        <w:lastRenderedPageBreak/>
        <w:t>14</w:t>
      </w:r>
      <w:bookmarkEnd w:id="5"/>
      <w:r>
        <w:rPr>
          <w:lang w:val="fr-FR"/>
        </w:rPr>
        <w:t>.  Le TAR observa notamment que de 1989 à 1998, le requérant avait travaillé de manière intermittente comme ouvrier dans des chantiers communaux et comme employé d</w:t>
      </w:r>
      <w:r w:rsidR="00656E34">
        <w:rPr>
          <w:lang w:val="fr-FR"/>
        </w:rPr>
        <w:t>’</w:t>
      </w:r>
      <w:r>
        <w:rPr>
          <w:lang w:val="fr-FR"/>
        </w:rPr>
        <w:t>une station essence. En ce qui concernait le bar, la requérante avait déclaré des revenus relativement modestes (10 080 000 ITL – environ 5 577 EUR – pour 1993 ; 15 256 000 ITL – environ 7 879 EUR – pour 1994 ; et 25 713 000 ITL – environ 13 279 EUR – pour 1995). En outre, par une note du 21 juin 2010, la Préfecture d</w:t>
      </w:r>
      <w:r w:rsidR="00656E34">
        <w:rPr>
          <w:lang w:val="fr-FR"/>
        </w:rPr>
        <w:t>’</w:t>
      </w:r>
      <w:r>
        <w:rPr>
          <w:lang w:val="fr-FR"/>
        </w:rPr>
        <w:t>Agrigente avait exclu que l</w:t>
      </w:r>
      <w:r w:rsidR="00656E34">
        <w:rPr>
          <w:lang w:val="fr-FR"/>
        </w:rPr>
        <w:t>’</w:t>
      </w:r>
      <w:r>
        <w:rPr>
          <w:lang w:val="fr-FR"/>
        </w:rPr>
        <w:t>insertion dans le programme de protection eût eu des répercussions négatives pour la rentabilité de l</w:t>
      </w:r>
      <w:r w:rsidR="00656E34">
        <w:rPr>
          <w:lang w:val="fr-FR"/>
        </w:rPr>
        <w:t>’</w:t>
      </w:r>
      <w:r>
        <w:rPr>
          <w:lang w:val="fr-FR"/>
        </w:rPr>
        <w:t>entreprise.</w:t>
      </w:r>
    </w:p>
    <w:p w:rsidR="008B3A45" w:rsidRDefault="008B3A45" w:rsidP="0099548A">
      <w:pPr>
        <w:pStyle w:val="ECHRPara"/>
        <w:rPr>
          <w:lang w:val="fr-FR"/>
        </w:rPr>
      </w:pPr>
      <w:r>
        <w:rPr>
          <w:lang w:val="fr-FR"/>
        </w:rPr>
        <w:t xml:space="preserve">15.  Dans la mesure où les requérants se plaignaient du fait que la commission </w:t>
      </w:r>
      <w:r w:rsidRPr="00BA386F">
        <w:rPr>
          <w:i/>
          <w:lang w:val="fr-FR"/>
        </w:rPr>
        <w:t>ad hoc</w:t>
      </w:r>
      <w:r>
        <w:rPr>
          <w:lang w:val="fr-FR"/>
        </w:rPr>
        <w:t xml:space="preserve"> avait octroyé des sommes à titre de préjudice moral bien inférieures à celles qui ressortaient des rapports des experts de leur choix, le TAR observa que la commission s</w:t>
      </w:r>
      <w:r w:rsidR="00656E34">
        <w:rPr>
          <w:lang w:val="fr-FR"/>
        </w:rPr>
        <w:t>’</w:t>
      </w:r>
      <w:r>
        <w:rPr>
          <w:lang w:val="fr-FR"/>
        </w:rPr>
        <w:t>était basée sur des pourcentages de préjudice de 20% pour les requérants et de 5% et 15% respectivement pour leurs enfants. Ces pourcentages avaient été déterminés par une expertise médico-légale réalisée par l</w:t>
      </w:r>
      <w:r w:rsidR="00656E34">
        <w:rPr>
          <w:lang w:val="fr-FR"/>
        </w:rPr>
        <w:t>’</w:t>
      </w:r>
      <w:r>
        <w:rPr>
          <w:lang w:val="fr-FR"/>
        </w:rPr>
        <w:t>Institut National pour la Sécurité Sociale (« INPS ») sur la base des tableaux préparés par le tribunal de Rome.</w:t>
      </w:r>
    </w:p>
    <w:p w:rsidR="008B3A45" w:rsidRDefault="008B3A45" w:rsidP="0099548A">
      <w:pPr>
        <w:pStyle w:val="ECHRPara"/>
        <w:rPr>
          <w:lang w:val="fr-FR"/>
        </w:rPr>
      </w:pPr>
      <w:r>
        <w:rPr>
          <w:lang w:val="fr-FR"/>
        </w:rPr>
        <w:t xml:space="preserve">16.  Enfin, les requérants affirmaient que leurs chances de réinsertion sociale étaient très minces, voire inexistantes. Le TAR observa cependant que les sommes que la commission </w:t>
      </w:r>
      <w:r w:rsidRPr="00CB72FF">
        <w:rPr>
          <w:i/>
          <w:lang w:val="fr-FR"/>
        </w:rPr>
        <w:t>ad hoc</w:t>
      </w:r>
      <w:r>
        <w:rPr>
          <w:lang w:val="fr-FR"/>
        </w:rPr>
        <w:t xml:space="preserve"> avait octroyées visaient, entre autres, à favoriser la réinsertion des intéressés dans le marché du travail.</w:t>
      </w:r>
    </w:p>
    <w:p w:rsidR="008B3A45" w:rsidRDefault="008B3A45" w:rsidP="0099548A">
      <w:pPr>
        <w:pStyle w:val="ECHRPara"/>
        <w:rPr>
          <w:lang w:val="fr-FR"/>
        </w:rPr>
      </w:pPr>
      <w:r>
        <w:rPr>
          <w:lang w:val="fr-FR"/>
        </w:rPr>
        <w:t>17.  Les requérants interjetèrent appel devant le Conseil d</w:t>
      </w:r>
      <w:r w:rsidR="00656E34">
        <w:rPr>
          <w:lang w:val="fr-FR"/>
        </w:rPr>
        <w:t>’</w:t>
      </w:r>
      <w:r>
        <w:rPr>
          <w:lang w:val="fr-FR"/>
        </w:rPr>
        <w:t>État.</w:t>
      </w:r>
    </w:p>
    <w:p w:rsidR="008B3A45" w:rsidRPr="00E21176" w:rsidRDefault="008B3A45" w:rsidP="0099548A">
      <w:pPr>
        <w:pStyle w:val="ECHRPara"/>
        <w:rPr>
          <w:lang w:val="fr-FR"/>
        </w:rPr>
      </w:pPr>
      <w:r>
        <w:rPr>
          <w:lang w:val="fr-FR"/>
        </w:rPr>
        <w:t>18.  Par un arrêt du 16 novembre 2012, dont le texte fut déposé au greffe le 14 décembre 2012, le Conseil d</w:t>
      </w:r>
      <w:r w:rsidR="00656E34">
        <w:rPr>
          <w:lang w:val="fr-FR"/>
        </w:rPr>
        <w:t>’</w:t>
      </w:r>
      <w:r>
        <w:rPr>
          <w:lang w:val="fr-FR"/>
        </w:rPr>
        <w:t>État, estimant que le TAR avait motivé de manière logique et correcte tous les points controversés, rejeta l</w:t>
      </w:r>
      <w:r w:rsidR="00656E34">
        <w:rPr>
          <w:lang w:val="fr-FR"/>
        </w:rPr>
        <w:t>’</w:t>
      </w:r>
      <w:r>
        <w:rPr>
          <w:lang w:val="fr-FR"/>
        </w:rPr>
        <w:t>appel des requérants.</w:t>
      </w:r>
    </w:p>
    <w:p w:rsidR="008B3A45" w:rsidRPr="00E21176" w:rsidRDefault="008B3A45" w:rsidP="0099548A">
      <w:pPr>
        <w:pStyle w:val="ECHRTitle1"/>
        <w:rPr>
          <w:lang w:val="fr-FR"/>
        </w:rPr>
      </w:pPr>
      <w:r w:rsidRPr="00E21176">
        <w:rPr>
          <w:lang w:val="fr-FR"/>
        </w:rPr>
        <w:t>GRIEFS</w:t>
      </w:r>
    </w:p>
    <w:p w:rsidR="008B3A45" w:rsidRPr="00E21176" w:rsidRDefault="008B3A45" w:rsidP="0099548A">
      <w:pPr>
        <w:pStyle w:val="ECHRPara"/>
        <w:rPr>
          <w:lang w:val="fr-FR"/>
        </w:rPr>
      </w:pPr>
      <w:r>
        <w:rPr>
          <w:lang w:val="fr-FR"/>
        </w:rPr>
        <w:t>19.  </w:t>
      </w:r>
      <w:r w:rsidRPr="006B54C6">
        <w:rPr>
          <w:lang w:val="fr-FR"/>
        </w:rPr>
        <w:t>Invoquant l</w:t>
      </w:r>
      <w:r w:rsidR="00656E34">
        <w:rPr>
          <w:lang w:val="fr-FR"/>
        </w:rPr>
        <w:t>’</w:t>
      </w:r>
      <w:r w:rsidRPr="006B54C6">
        <w:rPr>
          <w:lang w:val="fr-FR"/>
        </w:rPr>
        <w:t xml:space="preserve">article </w:t>
      </w:r>
      <w:r>
        <w:rPr>
          <w:lang w:val="fr-FR"/>
        </w:rPr>
        <w:t>8</w:t>
      </w:r>
      <w:r w:rsidRPr="006B54C6">
        <w:rPr>
          <w:lang w:val="fr-FR"/>
        </w:rPr>
        <w:t xml:space="preserve"> de la Convention, les requérants </w:t>
      </w:r>
      <w:r>
        <w:rPr>
          <w:lang w:val="fr-FR"/>
        </w:rPr>
        <w:t>dénoncent une atteinte à leur droit au respect de leur vie privée et familiale.</w:t>
      </w:r>
    </w:p>
    <w:p w:rsidR="008B3A45" w:rsidRPr="00E21176" w:rsidRDefault="008B3A45" w:rsidP="0099548A">
      <w:pPr>
        <w:pStyle w:val="ECHRTitle1"/>
        <w:rPr>
          <w:lang w:val="fr-FR"/>
        </w:rPr>
      </w:pPr>
      <w:r w:rsidRPr="00E21176">
        <w:rPr>
          <w:lang w:val="fr-FR"/>
        </w:rPr>
        <w:t>EN DROIT</w:t>
      </w:r>
    </w:p>
    <w:p w:rsidR="008B3A45" w:rsidRDefault="008B3A45" w:rsidP="0099548A">
      <w:pPr>
        <w:pStyle w:val="ECHRPara"/>
        <w:rPr>
          <w:lang w:val="fr-FR"/>
        </w:rPr>
      </w:pPr>
      <w:r>
        <w:rPr>
          <w:lang w:val="fr-FR"/>
        </w:rPr>
        <w:t>20.  Les requérants considèrent qu</w:t>
      </w:r>
      <w:r w:rsidR="00656E34">
        <w:rPr>
          <w:lang w:val="fr-FR"/>
        </w:rPr>
        <w:t>’</w:t>
      </w:r>
      <w:r>
        <w:rPr>
          <w:lang w:val="fr-FR"/>
        </w:rPr>
        <w:t>il y a eu violation de leur droit au respect de leur vie privée et familiale, tel que garanti par l</w:t>
      </w:r>
      <w:r w:rsidR="00656E34">
        <w:rPr>
          <w:lang w:val="fr-FR"/>
        </w:rPr>
        <w:t>’</w:t>
      </w:r>
      <w:r>
        <w:rPr>
          <w:lang w:val="fr-FR"/>
        </w:rPr>
        <w:t>article 8 de la Convention.</w:t>
      </w:r>
    </w:p>
    <w:p w:rsidR="008B3A45" w:rsidRDefault="008B3A45" w:rsidP="0099548A">
      <w:pPr>
        <w:pStyle w:val="ECHRPara"/>
        <w:rPr>
          <w:lang w:val="fr-FR"/>
        </w:rPr>
      </w:pPr>
      <w:r>
        <w:rPr>
          <w:lang w:val="fr-FR"/>
        </w:rPr>
        <w:t>Cette disposition se lit comme suit :</w:t>
      </w:r>
    </w:p>
    <w:p w:rsidR="008B3A45" w:rsidRPr="00ED22F4" w:rsidRDefault="008B3A45" w:rsidP="0099548A">
      <w:pPr>
        <w:pStyle w:val="ECHRParaQuote"/>
        <w:rPr>
          <w:lang w:val="fr-FR"/>
        </w:rPr>
      </w:pPr>
      <w:r w:rsidRPr="00ED22F4">
        <w:rPr>
          <w:lang w:val="fr-FR"/>
        </w:rPr>
        <w:t>« 1.  Toute personne a droit au respect de sa vie privée et familiale, de son domicile et de sa correspondance.</w:t>
      </w:r>
    </w:p>
    <w:p w:rsidR="008B3A45" w:rsidRDefault="008B3A45" w:rsidP="0099548A">
      <w:pPr>
        <w:pStyle w:val="ECHRParaQuote"/>
        <w:rPr>
          <w:lang w:val="fr-FR"/>
        </w:rPr>
      </w:pPr>
      <w:r w:rsidRPr="00ED22F4">
        <w:rPr>
          <w:lang w:val="fr-FR"/>
        </w:rPr>
        <w:lastRenderedPageBreak/>
        <w:t>2.  Il ne peut y avoir ingérence d</w:t>
      </w:r>
      <w:r w:rsidR="00656E34">
        <w:rPr>
          <w:lang w:val="fr-FR"/>
        </w:rPr>
        <w:t>’</w:t>
      </w:r>
      <w:r w:rsidRPr="00ED22F4">
        <w:rPr>
          <w:lang w:val="fr-FR"/>
        </w:rPr>
        <w:t>une autorité publique dans l</w:t>
      </w:r>
      <w:r w:rsidR="00656E34">
        <w:rPr>
          <w:lang w:val="fr-FR"/>
        </w:rPr>
        <w:t>’</w:t>
      </w:r>
      <w:r w:rsidRPr="00ED22F4">
        <w:rPr>
          <w:lang w:val="fr-FR"/>
        </w:rPr>
        <w:t>exercice de ce droit que pour autant que cette ingérence est prévue par la loi et qu</w:t>
      </w:r>
      <w:r w:rsidR="00656E34">
        <w:rPr>
          <w:lang w:val="fr-FR"/>
        </w:rPr>
        <w:t>’</w:t>
      </w:r>
      <w:r w:rsidRPr="00ED22F4">
        <w:rPr>
          <w:lang w:val="fr-FR"/>
        </w:rPr>
        <w:t>elle constitue une mesure qui, dans une société démocratique, est nécessaire à la sécurité nationale, à la sûreté publique, au bien</w:t>
      </w:r>
      <w:r w:rsidRPr="00ED22F4">
        <w:rPr>
          <w:lang w:val="fr-FR"/>
        </w:rPr>
        <w:noBreakHyphen/>
        <w:t>être économique du pays, à la défense de l</w:t>
      </w:r>
      <w:r w:rsidR="00656E34">
        <w:rPr>
          <w:lang w:val="fr-FR"/>
        </w:rPr>
        <w:t>’</w:t>
      </w:r>
      <w:r w:rsidRPr="00ED22F4">
        <w:rPr>
          <w:lang w:val="fr-FR"/>
        </w:rPr>
        <w:t>ordre et à la prévention des infractions pénales, à la protection de la santé ou de la morale, ou à la protection des droits et libertés d</w:t>
      </w:r>
      <w:r w:rsidR="00656E34">
        <w:rPr>
          <w:lang w:val="fr-FR"/>
        </w:rPr>
        <w:t>’</w:t>
      </w:r>
      <w:r w:rsidRPr="00ED22F4">
        <w:rPr>
          <w:lang w:val="fr-FR"/>
        </w:rPr>
        <w:t>autrui. »</w:t>
      </w:r>
    </w:p>
    <w:p w:rsidR="008B3A45" w:rsidRDefault="008B3A45" w:rsidP="0099548A">
      <w:pPr>
        <w:pStyle w:val="ECHRPara"/>
        <w:rPr>
          <w:lang w:val="fr-FR"/>
        </w:rPr>
      </w:pPr>
      <w:r>
        <w:rPr>
          <w:lang w:val="fr-FR"/>
        </w:rPr>
        <w:t>21.  Les requérants affirment avoir décidé de dénoncer les intimidations dont ils avaient fait l</w:t>
      </w:r>
      <w:r w:rsidR="00656E34">
        <w:rPr>
          <w:lang w:val="fr-FR"/>
        </w:rPr>
        <w:t>’</w:t>
      </w:r>
      <w:r>
        <w:rPr>
          <w:lang w:val="fr-FR"/>
        </w:rPr>
        <w:t>objet et de témoigner contre les responsables afin d</w:t>
      </w:r>
      <w:r w:rsidR="00656E34">
        <w:rPr>
          <w:lang w:val="fr-FR"/>
        </w:rPr>
        <w:t>’</w:t>
      </w:r>
      <w:r>
        <w:rPr>
          <w:lang w:val="fr-FR"/>
        </w:rPr>
        <w:t>améliorer la vie économique et sociale de tous les citoyens. Cependant, ce choix leur a empêché de mener une vie normale : ils ont reçu une nouvelle identité, ont été éloignés de leur milieu social et transférés dans une localité secrète. Ils ont été contraints de vivre de manière isolée et sans relations sociales, ce qui a eu des répercussions négatives sur leur intégrité physique et morale. Les requérants et leur enfants ont souffert de stress, dépression, attaques de panique et troubles alimentaires. Les requérants considèrent qu</w:t>
      </w:r>
      <w:r w:rsidR="00656E34">
        <w:rPr>
          <w:lang w:val="fr-FR"/>
        </w:rPr>
        <w:t>’</w:t>
      </w:r>
      <w:r>
        <w:rPr>
          <w:lang w:val="fr-FR"/>
        </w:rPr>
        <w:t xml:space="preserve">en dépit de leur sacrifice, la commission </w:t>
      </w:r>
      <w:r>
        <w:rPr>
          <w:i/>
          <w:lang w:val="fr-FR"/>
        </w:rPr>
        <w:t xml:space="preserve">ad hoc </w:t>
      </w:r>
      <w:r>
        <w:rPr>
          <w:lang w:val="fr-FR"/>
        </w:rPr>
        <w:t>leur a octroyé une somme insuffisante, qui ne permet pas une réinsertion sociale adéquate et ne couvre pas le manque à gagner dont ils ont été victimes. En effet, cette somme a uniquement servi pour l</w:t>
      </w:r>
      <w:r w:rsidR="00656E34">
        <w:rPr>
          <w:lang w:val="fr-FR"/>
        </w:rPr>
        <w:t>’</w:t>
      </w:r>
      <w:r>
        <w:rPr>
          <w:lang w:val="fr-FR"/>
        </w:rPr>
        <w:t>achat d</w:t>
      </w:r>
      <w:r w:rsidR="00656E34">
        <w:rPr>
          <w:lang w:val="fr-FR"/>
        </w:rPr>
        <w:t>’</w:t>
      </w:r>
      <w:r>
        <w:rPr>
          <w:lang w:val="fr-FR"/>
        </w:rPr>
        <w:t>un logement. Ainsi la finalité de la loi n</w:t>
      </w:r>
      <w:r w:rsidRPr="008B3A45">
        <w:rPr>
          <w:vertAlign w:val="superscript"/>
          <w:lang w:val="fr-FR"/>
        </w:rPr>
        <w:t>o</w:t>
      </w:r>
      <w:r>
        <w:rPr>
          <w:lang w:val="fr-FR"/>
        </w:rPr>
        <w:t xml:space="preserve"> 82 de 1991, à savoir d</w:t>
      </w:r>
      <w:r w:rsidR="00656E34">
        <w:rPr>
          <w:lang w:val="fr-FR"/>
        </w:rPr>
        <w:t>’</w:t>
      </w:r>
      <w:r>
        <w:rPr>
          <w:lang w:val="fr-FR"/>
        </w:rPr>
        <w:t>éviter que le choix de témoigner contre la mafia puisse avoir des répercussions négatives pour les témoins concernés, aurait été méconnue.</w:t>
      </w:r>
    </w:p>
    <w:p w:rsidR="008B3A45" w:rsidRDefault="008B3A45" w:rsidP="0099548A">
      <w:pPr>
        <w:pStyle w:val="ECHRPara"/>
        <w:rPr>
          <w:lang w:val="fr-FR"/>
        </w:rPr>
      </w:pPr>
      <w:r>
        <w:rPr>
          <w:rFonts w:cstheme="minorHAnsi"/>
          <w:lang w:val="fr-FR"/>
        </w:rPr>
        <w:t>22.  À</w:t>
      </w:r>
      <w:r>
        <w:rPr>
          <w:lang w:val="fr-FR"/>
        </w:rPr>
        <w:t xml:space="preserve"> la date des dernières informations (9 juillet 2013), les requérants étaient à la recherche d</w:t>
      </w:r>
      <w:r w:rsidR="00656E34">
        <w:rPr>
          <w:lang w:val="fr-FR"/>
        </w:rPr>
        <w:t>’</w:t>
      </w:r>
      <w:r>
        <w:rPr>
          <w:lang w:val="fr-FR"/>
        </w:rPr>
        <w:t xml:space="preserve">un emploi et se heurtaient à des nombreuses difficultés, parmi lesquelles la circonstance que leurs </w:t>
      </w:r>
      <w:r w:rsidRPr="00677168">
        <w:rPr>
          <w:i/>
          <w:lang w:val="fr-FR"/>
        </w:rPr>
        <w:t>curricula</w:t>
      </w:r>
      <w:r>
        <w:rPr>
          <w:lang w:val="fr-FR"/>
        </w:rPr>
        <w:t xml:space="preserve"> indiquaient qu</w:t>
      </w:r>
      <w:r w:rsidR="00656E34">
        <w:rPr>
          <w:lang w:val="fr-FR"/>
        </w:rPr>
        <w:t>’</w:t>
      </w:r>
      <w:r>
        <w:rPr>
          <w:lang w:val="fr-FR"/>
        </w:rPr>
        <w:t>ils n</w:t>
      </w:r>
      <w:r w:rsidR="00656E34">
        <w:rPr>
          <w:lang w:val="fr-FR"/>
        </w:rPr>
        <w:t>’</w:t>
      </w:r>
      <w:r>
        <w:rPr>
          <w:lang w:val="fr-FR"/>
        </w:rPr>
        <w:t>avaient exercé aucune activité lucrative légale de 1998 à 2013. De plus, il leur serait interdit de participer à des concours pour l</w:t>
      </w:r>
      <w:r w:rsidR="00656E34">
        <w:rPr>
          <w:lang w:val="fr-FR"/>
        </w:rPr>
        <w:t>’</w:t>
      </w:r>
      <w:r>
        <w:rPr>
          <w:lang w:val="fr-FR"/>
        </w:rPr>
        <w:t>accès à la fonction publique.</w:t>
      </w:r>
    </w:p>
    <w:p w:rsidR="008B3A45" w:rsidRDefault="008B3A45" w:rsidP="0099548A">
      <w:pPr>
        <w:pStyle w:val="ECHRPara"/>
        <w:rPr>
          <w:lang w:val="fr-FR"/>
        </w:rPr>
      </w:pPr>
      <w:r>
        <w:rPr>
          <w:lang w:val="fr-FR"/>
        </w:rPr>
        <w:t>23.  L</w:t>
      </w:r>
      <w:r w:rsidRPr="00473325">
        <w:rPr>
          <w:lang w:val="fr-FR"/>
        </w:rPr>
        <w:t xml:space="preserve">a Cour </w:t>
      </w:r>
      <w:r>
        <w:rPr>
          <w:lang w:val="fr-FR"/>
        </w:rPr>
        <w:t>doit tout d</w:t>
      </w:r>
      <w:r w:rsidR="00656E34">
        <w:rPr>
          <w:lang w:val="fr-FR"/>
        </w:rPr>
        <w:t>’</w:t>
      </w:r>
      <w:r>
        <w:rPr>
          <w:lang w:val="fr-FR"/>
        </w:rPr>
        <w:t>abord</w:t>
      </w:r>
      <w:r w:rsidRPr="00473325">
        <w:rPr>
          <w:lang w:val="fr-FR"/>
        </w:rPr>
        <w:t xml:space="preserve"> trancher la question de savoir si le droit invoqué par </w:t>
      </w:r>
      <w:r>
        <w:rPr>
          <w:lang w:val="fr-FR"/>
        </w:rPr>
        <w:t>les requérants</w:t>
      </w:r>
      <w:r w:rsidRPr="00473325">
        <w:rPr>
          <w:lang w:val="fr-FR"/>
        </w:rPr>
        <w:t xml:space="preserve"> entre dans le cadre de la notion de « respect » de la « vie privée</w:t>
      </w:r>
      <w:r w:rsidR="00CA2ADB">
        <w:rPr>
          <w:lang w:val="fr-FR"/>
        </w:rPr>
        <w:t xml:space="preserve"> </w:t>
      </w:r>
      <w:r>
        <w:rPr>
          <w:lang w:val="fr-FR"/>
        </w:rPr>
        <w:t>et familiale </w:t>
      </w:r>
      <w:r w:rsidRPr="00473325">
        <w:rPr>
          <w:lang w:val="fr-FR"/>
        </w:rPr>
        <w:t>» inscrit</w:t>
      </w:r>
      <w:r>
        <w:rPr>
          <w:lang w:val="fr-FR"/>
        </w:rPr>
        <w:t>e</w:t>
      </w:r>
      <w:r w:rsidRPr="00473325">
        <w:rPr>
          <w:lang w:val="fr-FR"/>
        </w:rPr>
        <w:t xml:space="preserve"> à l</w:t>
      </w:r>
      <w:r w:rsidR="00656E34">
        <w:rPr>
          <w:lang w:val="fr-FR"/>
        </w:rPr>
        <w:t>’</w:t>
      </w:r>
      <w:r w:rsidRPr="00473325">
        <w:rPr>
          <w:lang w:val="fr-FR"/>
        </w:rPr>
        <w:t>article</w:t>
      </w:r>
      <w:r w:rsidR="00CA2ADB">
        <w:rPr>
          <w:lang w:val="fr-FR"/>
        </w:rPr>
        <w:t xml:space="preserve"> </w:t>
      </w:r>
      <w:r w:rsidRPr="00473325">
        <w:rPr>
          <w:lang w:val="fr-FR"/>
        </w:rPr>
        <w:t>8 de la Convention.</w:t>
      </w:r>
    </w:p>
    <w:p w:rsidR="008B3A45" w:rsidRPr="00656E34" w:rsidRDefault="008B3A45" w:rsidP="0099548A">
      <w:pPr>
        <w:pStyle w:val="ECHRPara"/>
        <w:rPr>
          <w:lang w:val="fr-FR"/>
        </w:rPr>
      </w:pPr>
      <w:r>
        <w:rPr>
          <w:lang w:val="fr-FR"/>
        </w:rPr>
        <w:t>24.  Elle rappelle que l</w:t>
      </w:r>
      <w:r w:rsidRPr="00CF2C97">
        <w:rPr>
          <w:lang w:val="fr-FR"/>
        </w:rPr>
        <w:t xml:space="preserve">a sphère de la vie privée, telle </w:t>
      </w:r>
      <w:r>
        <w:rPr>
          <w:lang w:val="fr-FR"/>
        </w:rPr>
        <w:t>qu</w:t>
      </w:r>
      <w:r w:rsidR="00656E34">
        <w:rPr>
          <w:lang w:val="fr-FR"/>
        </w:rPr>
        <w:t>’</w:t>
      </w:r>
      <w:r>
        <w:rPr>
          <w:lang w:val="fr-FR"/>
        </w:rPr>
        <w:t>elle</w:t>
      </w:r>
      <w:r w:rsidRPr="00CF2C97">
        <w:rPr>
          <w:lang w:val="fr-FR"/>
        </w:rPr>
        <w:t xml:space="preserve"> la conçoit, couvre l</w:t>
      </w:r>
      <w:r w:rsidR="00656E34">
        <w:rPr>
          <w:lang w:val="fr-FR"/>
        </w:rPr>
        <w:t>’</w:t>
      </w:r>
      <w:r w:rsidRPr="00CF2C97">
        <w:rPr>
          <w:lang w:val="fr-FR"/>
        </w:rPr>
        <w:t>intégrité physique et morale d</w:t>
      </w:r>
      <w:r w:rsidR="00656E34">
        <w:rPr>
          <w:lang w:val="fr-FR"/>
        </w:rPr>
        <w:t>’</w:t>
      </w:r>
      <w:r w:rsidRPr="00CF2C97">
        <w:rPr>
          <w:lang w:val="fr-FR"/>
        </w:rPr>
        <w:t>une personne ; la garantie offerte par l</w:t>
      </w:r>
      <w:r w:rsidR="00656E34">
        <w:rPr>
          <w:lang w:val="fr-FR"/>
        </w:rPr>
        <w:t>’</w:t>
      </w:r>
      <w:r w:rsidRPr="00CF2C97">
        <w:rPr>
          <w:lang w:val="fr-FR"/>
        </w:rPr>
        <w:t>article 8 de la Convention est principalement destinée à assurer le développement, sans ingérences extérieures, de la personnalité de chaque individu dans les relations avec ses semblables (</w:t>
      </w:r>
      <w:r w:rsidRPr="00473325">
        <w:rPr>
          <w:i/>
          <w:lang w:val="fr-FR"/>
        </w:rPr>
        <w:t>Botta c. Italie</w:t>
      </w:r>
      <w:r>
        <w:rPr>
          <w:lang w:val="fr-FR"/>
        </w:rPr>
        <w:t xml:space="preserve">, 24 février 1998, § 32, </w:t>
      </w:r>
      <w:r>
        <w:rPr>
          <w:i/>
          <w:lang w:val="fr-FR"/>
        </w:rPr>
        <w:t xml:space="preserve">Recueil des arrêts et décisions </w:t>
      </w:r>
      <w:r>
        <w:rPr>
          <w:lang w:val="fr-FR"/>
        </w:rPr>
        <w:t>1998-I</w:t>
      </w:r>
      <w:r w:rsidRPr="00CF2C97">
        <w:rPr>
          <w:lang w:val="fr-FR"/>
        </w:rPr>
        <w:t>).</w:t>
      </w:r>
    </w:p>
    <w:p w:rsidR="008B3A45" w:rsidRDefault="008B3A45" w:rsidP="0099548A">
      <w:pPr>
        <w:pStyle w:val="ECHRPara"/>
        <w:rPr>
          <w:lang w:val="fr-FR"/>
        </w:rPr>
      </w:pPr>
      <w:r>
        <w:rPr>
          <w:lang w:val="fr-FR"/>
        </w:rPr>
        <w:t>25.  </w:t>
      </w:r>
      <w:r w:rsidRPr="00CF2C97">
        <w:rPr>
          <w:lang w:val="fr-FR"/>
        </w:rPr>
        <w:t>En l</w:t>
      </w:r>
      <w:r w:rsidR="00656E34">
        <w:rPr>
          <w:lang w:val="fr-FR"/>
        </w:rPr>
        <w:t>’</w:t>
      </w:r>
      <w:r w:rsidRPr="00CF2C97">
        <w:rPr>
          <w:lang w:val="fr-FR"/>
        </w:rPr>
        <w:t xml:space="preserve">espèce, </w:t>
      </w:r>
      <w:r>
        <w:rPr>
          <w:lang w:val="fr-FR"/>
        </w:rPr>
        <w:t xml:space="preserve">la Cour note que </w:t>
      </w:r>
      <w:r w:rsidRPr="00CF2C97">
        <w:rPr>
          <w:lang w:val="fr-FR"/>
        </w:rPr>
        <w:t>le</w:t>
      </w:r>
      <w:r>
        <w:rPr>
          <w:lang w:val="fr-FR"/>
        </w:rPr>
        <w:t>s</w:t>
      </w:r>
      <w:r w:rsidRPr="00CF2C97">
        <w:rPr>
          <w:lang w:val="fr-FR"/>
        </w:rPr>
        <w:t xml:space="preserve"> requérant</w:t>
      </w:r>
      <w:r>
        <w:rPr>
          <w:lang w:val="fr-FR"/>
        </w:rPr>
        <w:t>s</w:t>
      </w:r>
      <w:r w:rsidRPr="00CF2C97">
        <w:rPr>
          <w:lang w:val="fr-FR"/>
        </w:rPr>
        <w:t xml:space="preserve"> se plai</w:t>
      </w:r>
      <w:r>
        <w:rPr>
          <w:lang w:val="fr-FR"/>
        </w:rPr>
        <w:t>gnent</w:t>
      </w:r>
      <w:r w:rsidRPr="00CF2C97">
        <w:rPr>
          <w:lang w:val="fr-FR"/>
        </w:rPr>
        <w:t xml:space="preserve"> en substance non </w:t>
      </w:r>
      <w:r>
        <w:rPr>
          <w:lang w:val="fr-FR"/>
        </w:rPr>
        <w:t xml:space="preserve">pas </w:t>
      </w:r>
      <w:r w:rsidRPr="00CF2C97">
        <w:rPr>
          <w:lang w:val="fr-FR"/>
        </w:rPr>
        <w:t>d</w:t>
      </w:r>
      <w:r w:rsidR="00656E34">
        <w:rPr>
          <w:lang w:val="fr-FR"/>
        </w:rPr>
        <w:t>’</w:t>
      </w:r>
      <w:r w:rsidRPr="00CF2C97">
        <w:rPr>
          <w:lang w:val="fr-FR"/>
        </w:rPr>
        <w:t>un acte de l</w:t>
      </w:r>
      <w:r w:rsidR="00656E34">
        <w:rPr>
          <w:lang w:val="fr-FR"/>
        </w:rPr>
        <w:t>’</w:t>
      </w:r>
      <w:r w:rsidRPr="00CF2C97">
        <w:rPr>
          <w:lang w:val="fr-FR"/>
        </w:rPr>
        <w:t>État mais de l</w:t>
      </w:r>
      <w:r w:rsidR="00656E34">
        <w:rPr>
          <w:lang w:val="fr-FR"/>
        </w:rPr>
        <w:t>’</w:t>
      </w:r>
      <w:r w:rsidRPr="00CF2C97">
        <w:rPr>
          <w:lang w:val="fr-FR"/>
        </w:rPr>
        <w:t>inaction</w:t>
      </w:r>
      <w:r>
        <w:rPr>
          <w:lang w:val="fr-FR"/>
        </w:rPr>
        <w:t xml:space="preserve"> </w:t>
      </w:r>
      <w:r w:rsidRPr="00CF2C97">
        <w:rPr>
          <w:lang w:val="fr-FR"/>
        </w:rPr>
        <w:t>de l</w:t>
      </w:r>
      <w:r w:rsidR="00656E34">
        <w:rPr>
          <w:lang w:val="fr-FR"/>
        </w:rPr>
        <w:t>’</w:t>
      </w:r>
      <w:r w:rsidRPr="00CF2C97">
        <w:rPr>
          <w:lang w:val="fr-FR"/>
        </w:rPr>
        <w:t>État, auquel il</w:t>
      </w:r>
      <w:r>
        <w:rPr>
          <w:lang w:val="fr-FR"/>
        </w:rPr>
        <w:t>s</w:t>
      </w:r>
      <w:r w:rsidRPr="00CF2C97">
        <w:rPr>
          <w:lang w:val="fr-FR"/>
        </w:rPr>
        <w:t xml:space="preserve"> reproche</w:t>
      </w:r>
      <w:r>
        <w:rPr>
          <w:lang w:val="fr-FR"/>
        </w:rPr>
        <w:t>nt</w:t>
      </w:r>
      <w:r w:rsidRPr="00CF2C97">
        <w:rPr>
          <w:lang w:val="fr-FR"/>
        </w:rPr>
        <w:t xml:space="preserve"> </w:t>
      </w:r>
      <w:r>
        <w:rPr>
          <w:lang w:val="fr-FR"/>
        </w:rPr>
        <w:t>de ne pas avoir adopté toutes les mesures positives, notamment d</w:t>
      </w:r>
      <w:r w:rsidR="00656E34">
        <w:rPr>
          <w:lang w:val="fr-FR"/>
        </w:rPr>
        <w:t>’</w:t>
      </w:r>
      <w:r>
        <w:rPr>
          <w:lang w:val="fr-FR"/>
        </w:rPr>
        <w:t>ordre économique, nécessaires afin de leur garantir une réinsertion sociale adéquate après leur choix de témoigner contre les personnes responsables des homicides commis en 1996</w:t>
      </w:r>
      <w:r w:rsidRPr="00EE2113">
        <w:rPr>
          <w:lang w:val="fr-FR"/>
        </w:rPr>
        <w:t xml:space="preserve">. </w:t>
      </w:r>
      <w:r>
        <w:rPr>
          <w:lang w:val="fr-FR"/>
        </w:rPr>
        <w:t xml:space="preserve">En effet, même si les requérants mentionnent leur éloignement de leur milieu social et leur transfert dans une localité secrète sous une nouvelle identité, ils ne critiquent pas ces mesures </w:t>
      </w:r>
      <w:r>
        <w:rPr>
          <w:lang w:val="fr-FR"/>
        </w:rPr>
        <w:lastRenderedPageBreak/>
        <w:t>en tant que telles, et semblent accepter qu</w:t>
      </w:r>
      <w:r w:rsidR="00656E34">
        <w:rPr>
          <w:lang w:val="fr-FR"/>
        </w:rPr>
        <w:t>’</w:t>
      </w:r>
      <w:r>
        <w:rPr>
          <w:lang w:val="fr-FR"/>
        </w:rPr>
        <w:t xml:space="preserve">elles étaient nécessaires pour leur protection et pour la protection de leurs proches. Dès lors, la seule question que la Cour est appelée à examiner dans la présente affaire est celle de savoir si la décision de la commission </w:t>
      </w:r>
      <w:r>
        <w:rPr>
          <w:i/>
          <w:lang w:val="fr-FR"/>
        </w:rPr>
        <w:t xml:space="preserve">ad hoc </w:t>
      </w:r>
      <w:r>
        <w:rPr>
          <w:lang w:val="fr-FR"/>
        </w:rPr>
        <w:t>d</w:t>
      </w:r>
      <w:r w:rsidR="00656E34">
        <w:rPr>
          <w:lang w:val="fr-FR"/>
        </w:rPr>
        <w:t>’</w:t>
      </w:r>
      <w:r>
        <w:rPr>
          <w:lang w:val="fr-FR"/>
        </w:rPr>
        <w:t>accueillir seulement en partie la demande des requérants visant à obtenir une indemnité financière a porté atteinte aux droits des intéressés garantis par l</w:t>
      </w:r>
      <w:r w:rsidR="00656E34">
        <w:rPr>
          <w:lang w:val="fr-FR"/>
        </w:rPr>
        <w:t>’</w:t>
      </w:r>
      <w:r>
        <w:rPr>
          <w:lang w:val="fr-FR"/>
        </w:rPr>
        <w:t>article 8 de la Convention.</w:t>
      </w:r>
    </w:p>
    <w:p w:rsidR="008B3A45" w:rsidRDefault="008B3A45" w:rsidP="0099548A">
      <w:pPr>
        <w:pStyle w:val="ECHRPara"/>
        <w:rPr>
          <w:lang w:val="fr-FR"/>
        </w:rPr>
      </w:pPr>
      <w:r>
        <w:rPr>
          <w:lang w:val="fr-FR"/>
        </w:rPr>
        <w:t>26.  La Cour rappelle que si l</w:t>
      </w:r>
      <w:r w:rsidR="00656E34">
        <w:rPr>
          <w:lang w:val="fr-FR"/>
        </w:rPr>
        <w:t>’</w:t>
      </w:r>
      <w:r>
        <w:rPr>
          <w:lang w:val="fr-FR"/>
        </w:rPr>
        <w:t>article 8 a essentiellement pour objet de prémunir l</w:t>
      </w:r>
      <w:r w:rsidR="00656E34">
        <w:rPr>
          <w:lang w:val="fr-FR"/>
        </w:rPr>
        <w:t>’</w:t>
      </w:r>
      <w:r>
        <w:rPr>
          <w:lang w:val="fr-FR"/>
        </w:rPr>
        <w:t>individu contre les ingérences arbitraires des pouvoirs publics, il ne se contente pas de commander à l</w:t>
      </w:r>
      <w:r w:rsidR="00656E34">
        <w:rPr>
          <w:lang w:val="fr-FR"/>
        </w:rPr>
        <w:t>’</w:t>
      </w:r>
      <w:r>
        <w:rPr>
          <w:lang w:val="fr-FR"/>
        </w:rPr>
        <w:t>État de s</w:t>
      </w:r>
      <w:r w:rsidR="00656E34">
        <w:rPr>
          <w:lang w:val="fr-FR"/>
        </w:rPr>
        <w:t>’</w:t>
      </w:r>
      <w:r>
        <w:rPr>
          <w:lang w:val="fr-FR"/>
        </w:rPr>
        <w:t>abstenir de pareilles ingérences : à cet engagement négatif peuvent s</w:t>
      </w:r>
      <w:r w:rsidR="00656E34">
        <w:rPr>
          <w:lang w:val="fr-FR"/>
        </w:rPr>
        <w:t>’</w:t>
      </w:r>
      <w:r>
        <w:rPr>
          <w:lang w:val="fr-FR"/>
        </w:rPr>
        <w:t>ajouter des obligations positives inhérentes à un respect effectif de la vie privée ou familiale (</w:t>
      </w:r>
      <w:r>
        <w:rPr>
          <w:i/>
          <w:lang w:val="fr-FR"/>
        </w:rPr>
        <w:t>Guerra et autres c. Italie</w:t>
      </w:r>
      <w:r>
        <w:rPr>
          <w:lang w:val="fr-FR"/>
        </w:rPr>
        <w:t xml:space="preserve">, 19 février 1998, § 58, </w:t>
      </w:r>
      <w:r>
        <w:rPr>
          <w:i/>
          <w:lang w:val="fr-FR"/>
        </w:rPr>
        <w:t xml:space="preserve">Recueil </w:t>
      </w:r>
      <w:r>
        <w:rPr>
          <w:lang w:val="fr-FR"/>
        </w:rPr>
        <w:t xml:space="preserve">1998-I, et </w:t>
      </w:r>
      <w:r w:rsidR="00DD3ED5">
        <w:rPr>
          <w:i/>
          <w:lang w:val="fr-FR"/>
        </w:rPr>
        <w:t>Di </w:t>
      </w:r>
      <w:r>
        <w:rPr>
          <w:i/>
          <w:lang w:val="fr-FR"/>
        </w:rPr>
        <w:t>Sarno et autres c. Italie</w:t>
      </w:r>
      <w:r>
        <w:rPr>
          <w:lang w:val="fr-FR"/>
        </w:rPr>
        <w:t>, n</w:t>
      </w:r>
      <w:r w:rsidRPr="008B3A45">
        <w:rPr>
          <w:vertAlign w:val="superscript"/>
          <w:lang w:val="fr-FR"/>
        </w:rPr>
        <w:t>o</w:t>
      </w:r>
      <w:r>
        <w:rPr>
          <w:lang w:val="fr-FR"/>
        </w:rPr>
        <w:t xml:space="preserve"> 30765/08, § 105, 10 janvier 2012). </w:t>
      </w:r>
      <w:r w:rsidRPr="00EE2113">
        <w:rPr>
          <w:lang w:val="fr-FR"/>
        </w:rPr>
        <w:t>La notion de respect manque pourtant de netteté : pour déterminer si pareilles obligations existent</w:t>
      </w:r>
      <w:r>
        <w:rPr>
          <w:lang w:val="fr-FR"/>
        </w:rPr>
        <w:t>,</w:t>
      </w:r>
      <w:r w:rsidRPr="00EE2113">
        <w:rPr>
          <w:lang w:val="fr-FR"/>
        </w:rPr>
        <w:t xml:space="preserve"> il faut prendre en compte le juste équilibre à ménager entre l</w:t>
      </w:r>
      <w:r w:rsidR="00656E34">
        <w:rPr>
          <w:lang w:val="fr-FR"/>
        </w:rPr>
        <w:t>’</w:t>
      </w:r>
      <w:r w:rsidRPr="00EE2113">
        <w:rPr>
          <w:lang w:val="fr-FR"/>
        </w:rPr>
        <w:t>intérêt général et les intérêts de l</w:t>
      </w:r>
      <w:r w:rsidR="00656E34">
        <w:rPr>
          <w:lang w:val="fr-FR"/>
        </w:rPr>
        <w:t>’</w:t>
      </w:r>
      <w:r w:rsidRPr="00EE2113">
        <w:rPr>
          <w:lang w:val="fr-FR"/>
        </w:rPr>
        <w:t>individu, l</w:t>
      </w:r>
      <w:r w:rsidR="00656E34">
        <w:rPr>
          <w:lang w:val="fr-FR"/>
        </w:rPr>
        <w:t>’</w:t>
      </w:r>
      <w:r w:rsidRPr="00EE2113">
        <w:rPr>
          <w:lang w:val="fr-FR"/>
        </w:rPr>
        <w:t>État jouissant en toute hypothèse d</w:t>
      </w:r>
      <w:r w:rsidR="00656E34">
        <w:rPr>
          <w:lang w:val="fr-FR"/>
        </w:rPr>
        <w:t>’</w:t>
      </w:r>
      <w:r w:rsidRPr="00EE2113">
        <w:rPr>
          <w:lang w:val="fr-FR"/>
        </w:rPr>
        <w:t>une marge d</w:t>
      </w:r>
      <w:r w:rsidR="00656E34">
        <w:rPr>
          <w:lang w:val="fr-FR"/>
        </w:rPr>
        <w:t>’</w:t>
      </w:r>
      <w:r w:rsidRPr="00EE2113">
        <w:rPr>
          <w:lang w:val="fr-FR"/>
        </w:rPr>
        <w:t>appréciation (</w:t>
      </w:r>
      <w:r w:rsidRPr="00E306F9">
        <w:rPr>
          <w:i/>
          <w:lang w:val="fr-FR"/>
        </w:rPr>
        <w:t>Botta</w:t>
      </w:r>
      <w:r w:rsidRPr="00EE2113">
        <w:rPr>
          <w:lang w:val="fr-FR"/>
        </w:rPr>
        <w:t>, précité, § 33</w:t>
      </w:r>
      <w:r>
        <w:rPr>
          <w:lang w:val="fr-FR"/>
        </w:rPr>
        <w:t> ;</w:t>
      </w:r>
      <w:r w:rsidRPr="00EE2113">
        <w:rPr>
          <w:lang w:val="fr-FR"/>
        </w:rPr>
        <w:t xml:space="preserve"> </w:t>
      </w:r>
      <w:r w:rsidRPr="00EE2113">
        <w:rPr>
          <w:i/>
          <w:lang w:val="fr-FR"/>
        </w:rPr>
        <w:t>Christine Goodwin c.</w:t>
      </w:r>
      <w:r w:rsidR="00CA2ADB">
        <w:rPr>
          <w:i/>
          <w:lang w:val="fr-FR"/>
        </w:rPr>
        <w:t xml:space="preserve"> </w:t>
      </w:r>
      <w:r w:rsidRPr="00EE2113">
        <w:rPr>
          <w:i/>
          <w:lang w:val="fr-FR"/>
        </w:rPr>
        <w:t xml:space="preserve">Royaume-Uni </w:t>
      </w:r>
      <w:r w:rsidRPr="00EE2113">
        <w:rPr>
          <w:lang w:val="fr-FR"/>
        </w:rPr>
        <w:t>[GC], n</w:t>
      </w:r>
      <w:r w:rsidRPr="008F6660">
        <w:rPr>
          <w:vertAlign w:val="superscript"/>
          <w:lang w:val="fr-FR"/>
        </w:rPr>
        <w:t>o</w:t>
      </w:r>
      <w:r w:rsidRPr="00EE2113">
        <w:rPr>
          <w:lang w:val="fr-FR"/>
        </w:rPr>
        <w:t xml:space="preserve"> 28957/95, § 72, CEDH 2002-VI</w:t>
      </w:r>
      <w:r>
        <w:rPr>
          <w:lang w:val="fr-FR"/>
        </w:rPr>
        <w:t xml:space="preserve"> ; et </w:t>
      </w:r>
      <w:r>
        <w:rPr>
          <w:i/>
          <w:lang w:val="fr-FR"/>
        </w:rPr>
        <w:t xml:space="preserve">Briani c. Italie </w:t>
      </w:r>
      <w:r>
        <w:rPr>
          <w:lang w:val="fr-FR"/>
        </w:rPr>
        <w:t>(déc.), n</w:t>
      </w:r>
      <w:r w:rsidRPr="008B3A45">
        <w:rPr>
          <w:vertAlign w:val="superscript"/>
          <w:lang w:val="fr-FR"/>
        </w:rPr>
        <w:t>o</w:t>
      </w:r>
      <w:r w:rsidR="00CA2ADB">
        <w:rPr>
          <w:lang w:val="fr-FR"/>
        </w:rPr>
        <w:t xml:space="preserve"> </w:t>
      </w:r>
      <w:r>
        <w:rPr>
          <w:lang w:val="fr-FR"/>
        </w:rPr>
        <w:t>33756/09, § 20, 9 septembre 2014).</w:t>
      </w:r>
    </w:p>
    <w:p w:rsidR="008B3A45" w:rsidRPr="00E21176" w:rsidRDefault="008B3A45" w:rsidP="0099548A">
      <w:pPr>
        <w:pStyle w:val="ECHRPara"/>
        <w:rPr>
          <w:lang w:val="fr-FR"/>
        </w:rPr>
      </w:pPr>
      <w:r>
        <w:rPr>
          <w:lang w:val="fr-FR"/>
        </w:rPr>
        <w:t>27.  </w:t>
      </w:r>
      <w:r w:rsidRPr="0076106D">
        <w:rPr>
          <w:lang w:val="fr-FR"/>
        </w:rPr>
        <w:t xml:space="preserve">La Cour </w:t>
      </w:r>
      <w:r>
        <w:rPr>
          <w:lang w:val="fr-FR"/>
        </w:rPr>
        <w:t>rappelle également avoir</w:t>
      </w:r>
      <w:r w:rsidRPr="0076106D">
        <w:rPr>
          <w:lang w:val="fr-FR"/>
        </w:rPr>
        <w:t xml:space="preserve"> conclu à l</w:t>
      </w:r>
      <w:r w:rsidR="00656E34">
        <w:rPr>
          <w:lang w:val="fr-FR"/>
        </w:rPr>
        <w:t>’</w:t>
      </w:r>
      <w:r w:rsidRPr="0076106D">
        <w:rPr>
          <w:lang w:val="fr-FR"/>
        </w:rPr>
        <w:t>existence de ce type d</w:t>
      </w:r>
      <w:r w:rsidR="00656E34">
        <w:rPr>
          <w:lang w:val="fr-FR"/>
        </w:rPr>
        <w:t>’</w:t>
      </w:r>
      <w:r w:rsidRPr="0076106D">
        <w:rPr>
          <w:lang w:val="fr-FR"/>
        </w:rPr>
        <w:t>obligations à la charge d</w:t>
      </w:r>
      <w:r w:rsidR="00656E34">
        <w:rPr>
          <w:lang w:val="fr-FR"/>
        </w:rPr>
        <w:t>’</w:t>
      </w:r>
      <w:r w:rsidRPr="0076106D">
        <w:rPr>
          <w:lang w:val="fr-FR"/>
        </w:rPr>
        <w:t>un État lorsqu</w:t>
      </w:r>
      <w:r w:rsidR="00656E34">
        <w:rPr>
          <w:lang w:val="fr-FR"/>
        </w:rPr>
        <w:t>’</w:t>
      </w:r>
      <w:r w:rsidRPr="0076106D">
        <w:rPr>
          <w:lang w:val="fr-FR"/>
        </w:rPr>
        <w:t>elle a constaté la présence d</w:t>
      </w:r>
      <w:r w:rsidR="00656E34">
        <w:rPr>
          <w:lang w:val="fr-FR"/>
        </w:rPr>
        <w:t>’</w:t>
      </w:r>
      <w:r w:rsidRPr="0076106D">
        <w:rPr>
          <w:lang w:val="fr-FR"/>
        </w:rPr>
        <w:t>un lien direct et immédiat entre, d</w:t>
      </w:r>
      <w:r w:rsidR="00656E34">
        <w:rPr>
          <w:lang w:val="fr-FR"/>
        </w:rPr>
        <w:t>’</w:t>
      </w:r>
      <w:r w:rsidRPr="0076106D">
        <w:rPr>
          <w:lang w:val="fr-FR"/>
        </w:rPr>
        <w:t>une part, les mesures demandées par un requérant et, d</w:t>
      </w:r>
      <w:r w:rsidR="00656E34">
        <w:rPr>
          <w:lang w:val="fr-FR"/>
        </w:rPr>
        <w:t>’</w:t>
      </w:r>
      <w:r w:rsidRPr="0076106D">
        <w:rPr>
          <w:lang w:val="fr-FR"/>
        </w:rPr>
        <w:t>autre part, la vie privée et/ou familiale de celui-ci (</w:t>
      </w:r>
      <w:r w:rsidRPr="0076106D">
        <w:rPr>
          <w:i/>
          <w:lang w:val="fr-FR"/>
        </w:rPr>
        <w:t>Botta</w:t>
      </w:r>
      <w:r w:rsidRPr="0076106D">
        <w:rPr>
          <w:lang w:val="fr-FR"/>
        </w:rPr>
        <w:t>, précité, § 34</w:t>
      </w:r>
      <w:r>
        <w:rPr>
          <w:lang w:val="fr-FR"/>
        </w:rPr>
        <w:t xml:space="preserve">, et </w:t>
      </w:r>
      <w:r>
        <w:rPr>
          <w:i/>
          <w:lang w:val="fr-FR"/>
        </w:rPr>
        <w:t>Briani</w:t>
      </w:r>
      <w:r>
        <w:rPr>
          <w:lang w:val="fr-FR"/>
        </w:rPr>
        <w:t>, décision précitée, § 21</w:t>
      </w:r>
      <w:r w:rsidRPr="0076106D">
        <w:rPr>
          <w:lang w:val="fr-FR"/>
        </w:rPr>
        <w:t>).</w:t>
      </w:r>
    </w:p>
    <w:p w:rsidR="008B3A45" w:rsidRDefault="008B3A45" w:rsidP="0099548A">
      <w:pPr>
        <w:pStyle w:val="ECHRPara"/>
        <w:rPr>
          <w:lang w:val="fr-FR"/>
        </w:rPr>
      </w:pPr>
      <w:r>
        <w:rPr>
          <w:lang w:val="fr-FR"/>
        </w:rPr>
        <w:t>28</w:t>
      </w:r>
      <w:r w:rsidR="00DD3ED5">
        <w:rPr>
          <w:lang w:val="fr-FR"/>
        </w:rPr>
        <w:t>.  </w:t>
      </w:r>
      <w:r>
        <w:rPr>
          <w:lang w:val="fr-FR"/>
        </w:rPr>
        <w:t>La Cour a estimé qu</w:t>
      </w:r>
      <w:r w:rsidR="00656E34">
        <w:rPr>
          <w:lang w:val="fr-FR"/>
        </w:rPr>
        <w:t>’</w:t>
      </w:r>
      <w:r>
        <w:rPr>
          <w:lang w:val="fr-FR"/>
        </w:rPr>
        <w:t>un tel lien existait en ce qui concernait l</w:t>
      </w:r>
      <w:r w:rsidR="00656E34">
        <w:rPr>
          <w:lang w:val="fr-FR"/>
        </w:rPr>
        <w:t>’</w:t>
      </w:r>
      <w:r>
        <w:rPr>
          <w:lang w:val="fr-FR"/>
        </w:rPr>
        <w:t>attribution de certaines allocations publiques, l</w:t>
      </w:r>
      <w:r w:rsidR="00656E34">
        <w:rPr>
          <w:lang w:val="fr-FR"/>
        </w:rPr>
        <w:t>’</w:t>
      </w:r>
      <w:r>
        <w:rPr>
          <w:lang w:val="fr-FR"/>
        </w:rPr>
        <w:t>octroi desquelles permettait à l</w:t>
      </w:r>
      <w:r w:rsidR="00656E34">
        <w:rPr>
          <w:lang w:val="fr-FR"/>
        </w:rPr>
        <w:t>’</w:t>
      </w:r>
      <w:r>
        <w:rPr>
          <w:lang w:val="fr-FR"/>
        </w:rPr>
        <w:t>État de « témoigner son respect pour la vie familiale » (voir, à propos de l</w:t>
      </w:r>
      <w:r w:rsidR="00656E34">
        <w:rPr>
          <w:lang w:val="fr-FR"/>
        </w:rPr>
        <w:t>’</w:t>
      </w:r>
      <w:r>
        <w:rPr>
          <w:lang w:val="fr-FR"/>
        </w:rPr>
        <w:t xml:space="preserve">allocation pour famille nombreuse, </w:t>
      </w:r>
      <w:r w:rsidRPr="00A90354">
        <w:rPr>
          <w:i/>
          <w:lang w:val="fr-FR"/>
        </w:rPr>
        <w:t>Okpisz</w:t>
      </w:r>
      <w:r>
        <w:rPr>
          <w:lang w:val="fr-FR"/>
        </w:rPr>
        <w:t xml:space="preserve"> </w:t>
      </w:r>
      <w:r w:rsidRPr="00A90354">
        <w:rPr>
          <w:i/>
          <w:lang w:val="fr-FR"/>
        </w:rPr>
        <w:t>c.</w:t>
      </w:r>
      <w:r w:rsidR="00CA2ADB">
        <w:rPr>
          <w:i/>
          <w:lang w:val="fr-FR"/>
        </w:rPr>
        <w:t xml:space="preserve"> </w:t>
      </w:r>
      <w:r>
        <w:rPr>
          <w:i/>
          <w:lang w:val="fr-FR"/>
        </w:rPr>
        <w:t>Allemagne</w:t>
      </w:r>
      <w:r>
        <w:rPr>
          <w:lang w:val="fr-FR"/>
        </w:rPr>
        <w:t>,</w:t>
      </w:r>
      <w:r w:rsidRPr="00A90354">
        <w:rPr>
          <w:lang w:val="fr-FR"/>
        </w:rPr>
        <w:t xml:space="preserve"> n</w:t>
      </w:r>
      <w:r w:rsidRPr="00A90354">
        <w:rPr>
          <w:vertAlign w:val="superscript"/>
          <w:lang w:val="fr-FR"/>
        </w:rPr>
        <w:t>o</w:t>
      </w:r>
      <w:r w:rsidR="00CA2ADB">
        <w:rPr>
          <w:lang w:val="fr-FR"/>
        </w:rPr>
        <w:t xml:space="preserve"> </w:t>
      </w:r>
      <w:r w:rsidRPr="00A90354">
        <w:rPr>
          <w:lang w:val="fr-FR"/>
        </w:rPr>
        <w:t xml:space="preserve">59140/00, </w:t>
      </w:r>
      <w:r>
        <w:rPr>
          <w:lang w:val="fr-FR"/>
        </w:rPr>
        <w:t xml:space="preserve">§ 32, </w:t>
      </w:r>
      <w:r w:rsidRPr="00A90354">
        <w:rPr>
          <w:lang w:val="fr-FR"/>
        </w:rPr>
        <w:t>25</w:t>
      </w:r>
      <w:r w:rsidR="00CA2ADB">
        <w:rPr>
          <w:lang w:val="fr-FR"/>
        </w:rPr>
        <w:t xml:space="preserve"> </w:t>
      </w:r>
      <w:r w:rsidRPr="00A90354">
        <w:rPr>
          <w:lang w:val="fr-FR"/>
        </w:rPr>
        <w:t>octobre 2005</w:t>
      </w:r>
      <w:r>
        <w:rPr>
          <w:lang w:val="fr-FR"/>
        </w:rPr>
        <w:t> ;</w:t>
      </w:r>
      <w:r w:rsidRPr="00A90354">
        <w:rPr>
          <w:lang w:val="fr-FR"/>
        </w:rPr>
        <w:t xml:space="preserve"> </w:t>
      </w:r>
      <w:r w:rsidRPr="00A90354">
        <w:rPr>
          <w:i/>
          <w:lang w:val="fr-FR"/>
        </w:rPr>
        <w:t>Niedzwiecki</w:t>
      </w:r>
      <w:r>
        <w:rPr>
          <w:lang w:val="fr-FR"/>
        </w:rPr>
        <w:t xml:space="preserve"> </w:t>
      </w:r>
      <w:r w:rsidRPr="00A90354">
        <w:rPr>
          <w:i/>
          <w:lang w:val="fr-FR"/>
        </w:rPr>
        <w:t>c.</w:t>
      </w:r>
      <w:r w:rsidR="00CA2ADB">
        <w:rPr>
          <w:i/>
          <w:lang w:val="fr-FR"/>
        </w:rPr>
        <w:t xml:space="preserve"> </w:t>
      </w:r>
      <w:r>
        <w:rPr>
          <w:i/>
          <w:lang w:val="fr-FR"/>
        </w:rPr>
        <w:t>Allemagne</w:t>
      </w:r>
      <w:r>
        <w:rPr>
          <w:lang w:val="fr-FR"/>
        </w:rPr>
        <w:t>,</w:t>
      </w:r>
      <w:r>
        <w:rPr>
          <w:i/>
          <w:lang w:val="fr-FR"/>
        </w:rPr>
        <w:t xml:space="preserve"> </w:t>
      </w:r>
      <w:r w:rsidRPr="00A90354">
        <w:rPr>
          <w:lang w:val="fr-FR"/>
        </w:rPr>
        <w:t>n</w:t>
      </w:r>
      <w:r w:rsidRPr="00A90354">
        <w:rPr>
          <w:vertAlign w:val="superscript"/>
          <w:lang w:val="fr-FR"/>
        </w:rPr>
        <w:t>o</w:t>
      </w:r>
      <w:r w:rsidR="00CA2ADB">
        <w:rPr>
          <w:lang w:val="fr-FR"/>
        </w:rPr>
        <w:t xml:space="preserve"> </w:t>
      </w:r>
      <w:r w:rsidRPr="00A90354">
        <w:rPr>
          <w:lang w:val="fr-FR"/>
        </w:rPr>
        <w:t xml:space="preserve">58453/00, </w:t>
      </w:r>
      <w:r>
        <w:rPr>
          <w:lang w:val="fr-FR"/>
        </w:rPr>
        <w:t xml:space="preserve">§ 31, </w:t>
      </w:r>
      <w:r w:rsidRPr="00A90354">
        <w:rPr>
          <w:lang w:val="fr-FR"/>
        </w:rPr>
        <w:t>25</w:t>
      </w:r>
      <w:r>
        <w:rPr>
          <w:lang w:val="fr-FR"/>
        </w:rPr>
        <w:t> </w:t>
      </w:r>
      <w:r w:rsidRPr="00A90354">
        <w:rPr>
          <w:lang w:val="fr-FR"/>
        </w:rPr>
        <w:t>octobre 2005</w:t>
      </w:r>
      <w:r>
        <w:rPr>
          <w:lang w:val="fr-FR"/>
        </w:rPr>
        <w:t> ;</w:t>
      </w:r>
      <w:r w:rsidRPr="00A90354">
        <w:rPr>
          <w:lang w:val="fr-FR"/>
        </w:rPr>
        <w:t xml:space="preserve"> </w:t>
      </w:r>
      <w:r w:rsidRPr="00A90354">
        <w:rPr>
          <w:i/>
          <w:lang w:val="fr-FR"/>
        </w:rPr>
        <w:t>Fawsie</w:t>
      </w:r>
      <w:r>
        <w:rPr>
          <w:i/>
          <w:lang w:val="fr-FR"/>
        </w:rPr>
        <w:t xml:space="preserve"> </w:t>
      </w:r>
      <w:r w:rsidRPr="00A90354">
        <w:rPr>
          <w:i/>
          <w:lang w:val="fr-FR"/>
        </w:rPr>
        <w:t>c. Grèce</w:t>
      </w:r>
      <w:r w:rsidRPr="00673277">
        <w:rPr>
          <w:lang w:val="fr-FR"/>
        </w:rPr>
        <w:t>,</w:t>
      </w:r>
      <w:r w:rsidRPr="00A90354">
        <w:rPr>
          <w:lang w:val="fr-FR"/>
        </w:rPr>
        <w:t xml:space="preserve"> n</w:t>
      </w:r>
      <w:r w:rsidRPr="00A90354">
        <w:rPr>
          <w:vertAlign w:val="superscript"/>
          <w:lang w:val="fr-FR"/>
        </w:rPr>
        <w:t>o</w:t>
      </w:r>
      <w:r w:rsidR="00CA2ADB">
        <w:rPr>
          <w:lang w:val="fr-FR"/>
        </w:rPr>
        <w:t xml:space="preserve"> </w:t>
      </w:r>
      <w:r w:rsidRPr="00A90354">
        <w:rPr>
          <w:rStyle w:val="textcolumn"/>
          <w:lang w:val="fr-FR"/>
        </w:rPr>
        <w:t xml:space="preserve">40080/07, </w:t>
      </w:r>
      <w:r>
        <w:rPr>
          <w:rStyle w:val="textcolumn"/>
          <w:lang w:val="fr-FR"/>
        </w:rPr>
        <w:t xml:space="preserve">§ 28, </w:t>
      </w:r>
      <w:r w:rsidRPr="00A90354">
        <w:rPr>
          <w:rStyle w:val="textcolumn"/>
          <w:lang w:val="fr-FR"/>
        </w:rPr>
        <w:t>28</w:t>
      </w:r>
      <w:r w:rsidR="00CA2ADB">
        <w:rPr>
          <w:rStyle w:val="textcolumn"/>
          <w:lang w:val="fr-FR"/>
        </w:rPr>
        <w:t xml:space="preserve"> </w:t>
      </w:r>
      <w:r w:rsidRPr="00A90354">
        <w:rPr>
          <w:rStyle w:val="textcolumn"/>
          <w:lang w:val="fr-FR"/>
        </w:rPr>
        <w:t>octobre 2010</w:t>
      </w:r>
      <w:r>
        <w:rPr>
          <w:rStyle w:val="textcolumn"/>
          <w:lang w:val="fr-FR"/>
        </w:rPr>
        <w:t xml:space="preserve"> ; </w:t>
      </w:r>
      <w:r w:rsidRPr="00A90354">
        <w:rPr>
          <w:rStyle w:val="textcolumn"/>
          <w:lang w:val="fr-FR"/>
        </w:rPr>
        <w:t>et</w:t>
      </w:r>
      <w:r w:rsidRPr="00A90354">
        <w:rPr>
          <w:lang w:val="fr-FR"/>
        </w:rPr>
        <w:t xml:space="preserve"> </w:t>
      </w:r>
      <w:r w:rsidRPr="00A90354">
        <w:rPr>
          <w:i/>
          <w:lang w:val="fr-FR"/>
        </w:rPr>
        <w:t>Saidoun c.</w:t>
      </w:r>
      <w:r>
        <w:rPr>
          <w:i/>
          <w:lang w:val="fr-FR"/>
        </w:rPr>
        <w:t> </w:t>
      </w:r>
      <w:r w:rsidRPr="00A90354">
        <w:rPr>
          <w:i/>
          <w:lang w:val="fr-FR"/>
        </w:rPr>
        <w:t>Grèce</w:t>
      </w:r>
      <w:r>
        <w:rPr>
          <w:lang w:val="fr-FR"/>
        </w:rPr>
        <w:t>,</w:t>
      </w:r>
      <w:r w:rsidRPr="00A90354">
        <w:rPr>
          <w:lang w:val="fr-FR"/>
        </w:rPr>
        <w:t xml:space="preserve"> n</w:t>
      </w:r>
      <w:r w:rsidRPr="00A90354">
        <w:rPr>
          <w:vertAlign w:val="superscript"/>
          <w:lang w:val="fr-FR"/>
        </w:rPr>
        <w:t>o</w:t>
      </w:r>
      <w:r w:rsidR="00CA2ADB">
        <w:rPr>
          <w:lang w:val="fr-FR"/>
        </w:rPr>
        <w:t xml:space="preserve"> </w:t>
      </w:r>
      <w:r w:rsidRPr="00A90354">
        <w:rPr>
          <w:rStyle w:val="textcolumn"/>
          <w:lang w:val="fr-FR"/>
        </w:rPr>
        <w:t>40083/07</w:t>
      </w:r>
      <w:r w:rsidRPr="00A90354">
        <w:rPr>
          <w:lang w:val="fr-FR"/>
        </w:rPr>
        <w:t xml:space="preserve">, </w:t>
      </w:r>
      <w:r>
        <w:rPr>
          <w:lang w:val="fr-FR"/>
        </w:rPr>
        <w:t>§</w:t>
      </w:r>
      <w:r w:rsidR="00CA2ADB">
        <w:rPr>
          <w:lang w:val="fr-FR"/>
        </w:rPr>
        <w:t xml:space="preserve"> </w:t>
      </w:r>
      <w:r>
        <w:rPr>
          <w:lang w:val="fr-FR"/>
        </w:rPr>
        <w:t xml:space="preserve">29, </w:t>
      </w:r>
      <w:r w:rsidRPr="00A90354">
        <w:rPr>
          <w:rStyle w:val="textcolumn"/>
          <w:lang w:val="fr-FR"/>
        </w:rPr>
        <w:t>28 octobre 2010</w:t>
      </w:r>
      <w:r>
        <w:rPr>
          <w:rStyle w:val="textcolumn"/>
          <w:lang w:val="fr-FR"/>
        </w:rPr>
        <w:t xml:space="preserve"> ; voir également, </w:t>
      </w:r>
      <w:r w:rsidRPr="00A90354">
        <w:rPr>
          <w:lang w:val="fr-FR"/>
        </w:rPr>
        <w:t>à propos d</w:t>
      </w:r>
      <w:r w:rsidR="00656E34">
        <w:rPr>
          <w:lang w:val="fr-FR"/>
        </w:rPr>
        <w:t>’</w:t>
      </w:r>
      <w:r w:rsidRPr="00A90354">
        <w:rPr>
          <w:lang w:val="fr-FR"/>
        </w:rPr>
        <w:t>une allocation de congé parental</w:t>
      </w:r>
      <w:r>
        <w:rPr>
          <w:lang w:val="fr-FR"/>
        </w:rPr>
        <w:t>,</w:t>
      </w:r>
      <w:r>
        <w:rPr>
          <w:rStyle w:val="textcolumn"/>
          <w:lang w:val="fr-FR"/>
        </w:rPr>
        <w:t xml:space="preserve"> </w:t>
      </w:r>
      <w:r w:rsidRPr="00A90354">
        <w:rPr>
          <w:i/>
          <w:lang w:val="fr-FR"/>
        </w:rPr>
        <w:t>Petrovic</w:t>
      </w:r>
      <w:r>
        <w:rPr>
          <w:i/>
          <w:lang w:val="fr-FR"/>
        </w:rPr>
        <w:t xml:space="preserve"> </w:t>
      </w:r>
      <w:r w:rsidRPr="00A90354">
        <w:rPr>
          <w:i/>
          <w:lang w:val="fr-FR"/>
        </w:rPr>
        <w:t>c.</w:t>
      </w:r>
      <w:r w:rsidR="00CA2ADB">
        <w:rPr>
          <w:i/>
          <w:lang w:val="fr-FR"/>
        </w:rPr>
        <w:t xml:space="preserve"> </w:t>
      </w:r>
      <w:r w:rsidRPr="00A90354">
        <w:rPr>
          <w:i/>
          <w:lang w:val="fr-FR"/>
        </w:rPr>
        <w:t>Autriche</w:t>
      </w:r>
      <w:r w:rsidRPr="00A90354">
        <w:rPr>
          <w:lang w:val="fr-FR"/>
        </w:rPr>
        <w:t>, 27 mars 1998, §§ 27-29</w:t>
      </w:r>
      <w:r>
        <w:rPr>
          <w:lang w:val="fr-FR"/>
        </w:rPr>
        <w:t>,</w:t>
      </w:r>
      <w:r w:rsidRPr="00A90354">
        <w:rPr>
          <w:lang w:val="fr-FR"/>
        </w:rPr>
        <w:t xml:space="preserve"> </w:t>
      </w:r>
      <w:r w:rsidRPr="00A90354">
        <w:rPr>
          <w:i/>
          <w:lang w:val="fr-FR"/>
        </w:rPr>
        <w:t>Recueil</w:t>
      </w:r>
      <w:r>
        <w:rPr>
          <w:i/>
          <w:lang w:val="fr-FR"/>
        </w:rPr>
        <w:t xml:space="preserve"> </w:t>
      </w:r>
      <w:r w:rsidRPr="00A90354">
        <w:rPr>
          <w:lang w:val="fr-FR"/>
        </w:rPr>
        <w:t>1998-II</w:t>
      </w:r>
      <w:r>
        <w:rPr>
          <w:lang w:val="fr-FR"/>
        </w:rPr>
        <w:t xml:space="preserve"> ; </w:t>
      </w:r>
      <w:r w:rsidRPr="00A90354">
        <w:rPr>
          <w:lang w:val="fr-FR"/>
        </w:rPr>
        <w:t>à propos d</w:t>
      </w:r>
      <w:r w:rsidR="00656E34">
        <w:rPr>
          <w:lang w:val="fr-FR"/>
        </w:rPr>
        <w:t>’</w:t>
      </w:r>
      <w:r w:rsidRPr="00A90354">
        <w:rPr>
          <w:lang w:val="fr-FR"/>
        </w:rPr>
        <w:t xml:space="preserve">une </w:t>
      </w:r>
      <w:r>
        <w:rPr>
          <w:lang w:val="fr-FR"/>
        </w:rPr>
        <w:t>prestation</w:t>
      </w:r>
      <w:r w:rsidRPr="00A90354">
        <w:rPr>
          <w:lang w:val="fr-FR"/>
        </w:rPr>
        <w:t xml:space="preserve"> de maternité</w:t>
      </w:r>
      <w:r>
        <w:rPr>
          <w:lang w:val="fr-FR"/>
        </w:rPr>
        <w:t>,</w:t>
      </w:r>
      <w:r w:rsidRPr="00A90354">
        <w:rPr>
          <w:lang w:val="fr-FR"/>
        </w:rPr>
        <w:t xml:space="preserve"> </w:t>
      </w:r>
      <w:r w:rsidRPr="00A90354">
        <w:rPr>
          <w:i/>
          <w:lang w:val="fr-FR"/>
        </w:rPr>
        <w:t>Weller</w:t>
      </w:r>
      <w:r>
        <w:rPr>
          <w:i/>
          <w:lang w:val="fr-FR"/>
        </w:rPr>
        <w:t xml:space="preserve"> </w:t>
      </w:r>
      <w:r w:rsidRPr="00A90354">
        <w:rPr>
          <w:i/>
          <w:lang w:val="fr-FR"/>
        </w:rPr>
        <w:t>c.</w:t>
      </w:r>
      <w:r w:rsidR="00CA2ADB">
        <w:rPr>
          <w:i/>
          <w:lang w:val="fr-FR"/>
        </w:rPr>
        <w:t xml:space="preserve"> </w:t>
      </w:r>
      <w:r w:rsidRPr="00A90354">
        <w:rPr>
          <w:i/>
          <w:lang w:val="fr-FR"/>
        </w:rPr>
        <w:t>Hongrie</w:t>
      </w:r>
      <w:r w:rsidRPr="00A90354">
        <w:rPr>
          <w:lang w:val="fr-FR"/>
        </w:rPr>
        <w:t>, n</w:t>
      </w:r>
      <w:r w:rsidRPr="00A90354">
        <w:rPr>
          <w:vertAlign w:val="superscript"/>
          <w:lang w:val="fr-FR"/>
        </w:rPr>
        <w:t>o</w:t>
      </w:r>
      <w:r w:rsidR="00CA2ADB">
        <w:rPr>
          <w:lang w:val="fr-FR"/>
        </w:rPr>
        <w:t xml:space="preserve"> </w:t>
      </w:r>
      <w:r w:rsidRPr="00A90354">
        <w:rPr>
          <w:rStyle w:val="textcolumn"/>
          <w:lang w:val="fr-FR"/>
        </w:rPr>
        <w:t>44399/05</w:t>
      </w:r>
      <w:r w:rsidRPr="00A90354">
        <w:rPr>
          <w:lang w:val="fr-FR"/>
        </w:rPr>
        <w:t xml:space="preserve">, </w:t>
      </w:r>
      <w:r>
        <w:rPr>
          <w:lang w:val="fr-FR"/>
        </w:rPr>
        <w:t>§</w:t>
      </w:r>
      <w:r w:rsidR="00CA2ADB">
        <w:rPr>
          <w:lang w:val="fr-FR"/>
        </w:rPr>
        <w:t xml:space="preserve"> </w:t>
      </w:r>
      <w:r>
        <w:rPr>
          <w:lang w:val="fr-FR"/>
        </w:rPr>
        <w:t xml:space="preserve">29, </w:t>
      </w:r>
      <w:r w:rsidRPr="00A90354">
        <w:rPr>
          <w:lang w:val="fr-FR"/>
        </w:rPr>
        <w:t>31 mars 2009</w:t>
      </w:r>
      <w:r>
        <w:rPr>
          <w:lang w:val="fr-FR"/>
        </w:rPr>
        <w:t> ; et, à propos d</w:t>
      </w:r>
      <w:r w:rsidR="00656E34">
        <w:rPr>
          <w:lang w:val="fr-FR"/>
        </w:rPr>
        <w:t>’</w:t>
      </w:r>
      <w:r>
        <w:rPr>
          <w:lang w:val="fr-FR"/>
        </w:rPr>
        <w:t xml:space="preserve">une allocation pour une aide à domicile, </w:t>
      </w:r>
      <w:r>
        <w:rPr>
          <w:i/>
          <w:lang w:val="fr-FR"/>
        </w:rPr>
        <w:t>McDonald c. Royaume-Uni</w:t>
      </w:r>
      <w:r>
        <w:rPr>
          <w:lang w:val="fr-FR"/>
        </w:rPr>
        <w:t>, n</w:t>
      </w:r>
      <w:r w:rsidRPr="008B3A45">
        <w:rPr>
          <w:vertAlign w:val="superscript"/>
          <w:lang w:val="fr-FR"/>
        </w:rPr>
        <w:t>o</w:t>
      </w:r>
      <w:r>
        <w:rPr>
          <w:lang w:val="fr-FR"/>
        </w:rPr>
        <w:t> </w:t>
      </w:r>
      <w:r w:rsidRPr="005E0F2E">
        <w:rPr>
          <w:rStyle w:val="column01"/>
          <w:lang w:val="fr-FR"/>
        </w:rPr>
        <w:t>4241/12, § 47, 20 mai 2014</w:t>
      </w:r>
      <w:r>
        <w:rPr>
          <w:lang w:val="fr-FR"/>
        </w:rPr>
        <w:t>). Pour parvenir à cette conclusion, la Cour a examiné la nature des allocations en cause et les répercussions que le refus de les octroyer pouvait avoir pour la vie privée et familiale des intéressés.</w:t>
      </w:r>
    </w:p>
    <w:p w:rsidR="008B3A45" w:rsidRDefault="008B3A45" w:rsidP="0099548A">
      <w:pPr>
        <w:pStyle w:val="ECHRPara"/>
        <w:rPr>
          <w:lang w:val="fr-FR"/>
        </w:rPr>
      </w:pPr>
      <w:r>
        <w:rPr>
          <w:lang w:val="fr-FR"/>
        </w:rPr>
        <w:t>29.  Se tournant vers les faits de l</w:t>
      </w:r>
      <w:r w:rsidR="00656E34">
        <w:rPr>
          <w:lang w:val="fr-FR"/>
        </w:rPr>
        <w:t>’</w:t>
      </w:r>
      <w:r>
        <w:rPr>
          <w:lang w:val="fr-FR"/>
        </w:rPr>
        <w:t xml:space="preserve">espèce, la Cour considère que les sommes pouvant être octroyées par la commission </w:t>
      </w:r>
      <w:r>
        <w:rPr>
          <w:i/>
          <w:lang w:val="fr-FR"/>
        </w:rPr>
        <w:t>ad hoc</w:t>
      </w:r>
      <w:r>
        <w:rPr>
          <w:lang w:val="fr-FR"/>
        </w:rPr>
        <w:t xml:space="preserve"> visaient, entre autres, à fournir aux requérants les moyens financiers nécessaires pour pallier aux répercussions négatives que l</w:t>
      </w:r>
      <w:r w:rsidR="00656E34">
        <w:rPr>
          <w:lang w:val="fr-FR"/>
        </w:rPr>
        <w:t>’</w:t>
      </w:r>
      <w:r>
        <w:rPr>
          <w:lang w:val="fr-FR"/>
        </w:rPr>
        <w:t xml:space="preserve">insertion dans le programme de protection avait eues sur leur vie privée et familiale et pour faciliter leur </w:t>
      </w:r>
      <w:r>
        <w:rPr>
          <w:lang w:val="fr-FR"/>
        </w:rPr>
        <w:lastRenderedPageBreak/>
        <w:t>réinsertion sociale. Par ailleurs, l</w:t>
      </w:r>
      <w:r w:rsidR="00656E34">
        <w:rPr>
          <w:lang w:val="fr-FR"/>
        </w:rPr>
        <w:t>’</w:t>
      </w:r>
      <w:r>
        <w:rPr>
          <w:lang w:val="fr-FR"/>
        </w:rPr>
        <w:t>article 16</w:t>
      </w:r>
      <w:r>
        <w:rPr>
          <w:i/>
          <w:lang w:val="fr-FR"/>
        </w:rPr>
        <w:t xml:space="preserve">ter </w:t>
      </w:r>
      <w:r>
        <w:rPr>
          <w:lang w:val="fr-FR"/>
        </w:rPr>
        <w:t>b) de la loi n</w:t>
      </w:r>
      <w:r w:rsidRPr="008B3A45">
        <w:rPr>
          <w:vertAlign w:val="superscript"/>
          <w:lang w:val="fr-FR"/>
        </w:rPr>
        <w:t>o</w:t>
      </w:r>
      <w:r>
        <w:rPr>
          <w:lang w:val="fr-FR"/>
        </w:rPr>
        <w:t xml:space="preserve"> 82 de 1991 indique que les mesures d</w:t>
      </w:r>
      <w:r w:rsidR="00656E34">
        <w:rPr>
          <w:lang w:val="fr-FR"/>
        </w:rPr>
        <w:t>’</w:t>
      </w:r>
      <w:r>
        <w:rPr>
          <w:lang w:val="fr-FR"/>
        </w:rPr>
        <w:t>assistance ont pour but de « garantir un niveau de vie personnelle et familiale non inférieur à celui qui existait avant le début du programme » (paragraphe 6 ci-dessus). Dès lors, la Cour ne saurait exclure l</w:t>
      </w:r>
      <w:r w:rsidR="00656E34">
        <w:rPr>
          <w:lang w:val="fr-FR"/>
        </w:rPr>
        <w:t>’</w:t>
      </w:r>
      <w:r>
        <w:rPr>
          <w:lang w:val="fr-FR"/>
        </w:rPr>
        <w:t>existence d</w:t>
      </w:r>
      <w:r w:rsidR="00656E34">
        <w:rPr>
          <w:lang w:val="fr-FR"/>
        </w:rPr>
        <w:t>’</w:t>
      </w:r>
      <w:r>
        <w:rPr>
          <w:lang w:val="fr-FR"/>
        </w:rPr>
        <w:t>un lien direct et immédiat entre les indemnités sollicitées et la vie privée et familiale des requérants. Elle estime, cependant, qu</w:t>
      </w:r>
      <w:r w:rsidR="00656E34">
        <w:rPr>
          <w:lang w:val="fr-FR"/>
        </w:rPr>
        <w:t>’</w:t>
      </w:r>
      <w:r>
        <w:rPr>
          <w:lang w:val="fr-FR"/>
        </w:rPr>
        <w:t>il ne s</w:t>
      </w:r>
      <w:r w:rsidR="00656E34">
        <w:rPr>
          <w:lang w:val="fr-FR"/>
        </w:rPr>
        <w:t>’</w:t>
      </w:r>
      <w:r>
        <w:rPr>
          <w:lang w:val="fr-FR"/>
        </w:rPr>
        <w:t>impose pas de trancher cette question, car, à supposer même que l</w:t>
      </w:r>
      <w:r w:rsidR="00656E34">
        <w:rPr>
          <w:lang w:val="fr-FR"/>
        </w:rPr>
        <w:t>’</w:t>
      </w:r>
      <w:r>
        <w:rPr>
          <w:lang w:val="fr-FR"/>
        </w:rPr>
        <w:t>article 8 de la Convention soit applicable, aucune apparence de violation de cette disposition ne saurait être décelée en l</w:t>
      </w:r>
      <w:r w:rsidR="00656E34">
        <w:rPr>
          <w:lang w:val="fr-FR"/>
        </w:rPr>
        <w:t>’</w:t>
      </w:r>
      <w:r>
        <w:rPr>
          <w:lang w:val="fr-FR"/>
        </w:rPr>
        <w:t>espèce, pour les raisons suivantes.</w:t>
      </w:r>
    </w:p>
    <w:p w:rsidR="008B3A45" w:rsidRDefault="008B3A45" w:rsidP="0099548A">
      <w:pPr>
        <w:pStyle w:val="ECHRPara"/>
        <w:rPr>
          <w:lang w:val="fr-FR"/>
        </w:rPr>
      </w:pPr>
      <w:r>
        <w:rPr>
          <w:lang w:val="fr-FR"/>
        </w:rPr>
        <w:t>30.  La Cour ne sous-estime pas les difficultés, entre autres d</w:t>
      </w:r>
      <w:r w:rsidR="00656E34">
        <w:rPr>
          <w:lang w:val="fr-FR"/>
        </w:rPr>
        <w:t>’</w:t>
      </w:r>
      <w:r>
        <w:rPr>
          <w:lang w:val="fr-FR"/>
        </w:rPr>
        <w:t>ordre financier, auxquelles les requérants ont dû faire face en raison de leur transfert dans des lieux lointains et secrets et de l</w:t>
      </w:r>
      <w:r w:rsidR="00656E34">
        <w:rPr>
          <w:lang w:val="fr-FR"/>
        </w:rPr>
        <w:t>’</w:t>
      </w:r>
      <w:r>
        <w:rPr>
          <w:lang w:val="fr-FR"/>
        </w:rPr>
        <w:t>impossibilité qui en est découlée de poursuivre leurs activités commerciales dans la province d</w:t>
      </w:r>
      <w:r w:rsidR="00656E34">
        <w:rPr>
          <w:lang w:val="fr-FR"/>
        </w:rPr>
        <w:t>’</w:t>
      </w:r>
      <w:r>
        <w:rPr>
          <w:lang w:val="fr-FR"/>
        </w:rPr>
        <w:t xml:space="preserve">Agrigente. Elle note cependant que la commission </w:t>
      </w:r>
      <w:r>
        <w:rPr>
          <w:i/>
          <w:lang w:val="fr-FR"/>
        </w:rPr>
        <w:t xml:space="preserve">ad hoc </w:t>
      </w:r>
      <w:r>
        <w:rPr>
          <w:lang w:val="fr-FR"/>
        </w:rPr>
        <w:t>a octroyé aux intéressés 267 400 EUR à titre de capitalisation du coût de l</w:t>
      </w:r>
      <w:r w:rsidR="00656E34">
        <w:rPr>
          <w:lang w:val="fr-FR"/>
        </w:rPr>
        <w:t>’</w:t>
      </w:r>
      <w:r>
        <w:rPr>
          <w:lang w:val="fr-FR"/>
        </w:rPr>
        <w:t xml:space="preserve">assistance et 90 796 EUR à titre de préjudice moral (paragraphe 9 ci-dessus). Aux yeux de la Cour, ces sommes, au vu des éléments débattus devant les juridictions internes, ne sauraient être considérées dérisoires, paraissant au contraire suffisantes à permettre, ou du moins à faciliter, la réinsertion sociale des requérants et de leurs enfants. Il est vrai que la commission </w:t>
      </w:r>
      <w:r>
        <w:rPr>
          <w:i/>
          <w:lang w:val="fr-FR"/>
        </w:rPr>
        <w:t xml:space="preserve">ad hoc </w:t>
      </w:r>
      <w:r>
        <w:rPr>
          <w:lang w:val="fr-FR"/>
        </w:rPr>
        <w:t>a refusé d</w:t>
      </w:r>
      <w:r w:rsidR="00656E34">
        <w:rPr>
          <w:lang w:val="fr-FR"/>
        </w:rPr>
        <w:t>’</w:t>
      </w:r>
      <w:r>
        <w:rPr>
          <w:lang w:val="fr-FR"/>
        </w:rPr>
        <w:t>accorder une somme à titre de manque à gagner ; cependant, comme souligné par le TAR, cette décision s</w:t>
      </w:r>
      <w:r w:rsidR="00656E34">
        <w:rPr>
          <w:lang w:val="fr-FR"/>
        </w:rPr>
        <w:t>’</w:t>
      </w:r>
      <w:r>
        <w:rPr>
          <w:lang w:val="fr-FR"/>
        </w:rPr>
        <w:t>expliquait par les faits que les intéressés n</w:t>
      </w:r>
      <w:r w:rsidR="00656E34">
        <w:rPr>
          <w:lang w:val="fr-FR"/>
        </w:rPr>
        <w:t>’</w:t>
      </w:r>
      <w:r>
        <w:rPr>
          <w:lang w:val="fr-FR"/>
        </w:rPr>
        <w:t>avaient travaillé dans la pizzeria que pendant cinq mois, qu</w:t>
      </w:r>
      <w:r w:rsidR="00656E34">
        <w:rPr>
          <w:lang w:val="fr-FR"/>
        </w:rPr>
        <w:t>’</w:t>
      </w:r>
      <w:r>
        <w:rPr>
          <w:lang w:val="fr-FR"/>
        </w:rPr>
        <w:t>ils n</w:t>
      </w:r>
      <w:r w:rsidR="00656E34">
        <w:rPr>
          <w:lang w:val="fr-FR"/>
        </w:rPr>
        <w:t>’</w:t>
      </w:r>
      <w:r>
        <w:rPr>
          <w:lang w:val="fr-FR"/>
        </w:rPr>
        <w:t xml:space="preserve">avaient pas produit les documents fiscaux et comptables relatifs à leurs activités commerciales (paragraphe 13 ci-dessus) et que les revenus déclarés pour le bar étaient relativement modestes (paragraphe 14 ci-dessus). De plus, les requérants ont été associés au processus décisionnel, ayant été entendus à deux reprises par la commission </w:t>
      </w:r>
      <w:r w:rsidRPr="0027320E">
        <w:rPr>
          <w:i/>
          <w:lang w:val="fr-FR"/>
        </w:rPr>
        <w:t>ad hoc</w:t>
      </w:r>
      <w:r>
        <w:rPr>
          <w:lang w:val="fr-FR"/>
        </w:rPr>
        <w:t xml:space="preserve"> et ayant donc eu la possibilité de présenter leurs projets de réinsertion sociale et dans le monde du travail (paragraphe 12 ci-dessus).</w:t>
      </w:r>
    </w:p>
    <w:p w:rsidR="008B3A45" w:rsidRDefault="008B3A45" w:rsidP="0099548A">
      <w:pPr>
        <w:pStyle w:val="ECHRPara"/>
        <w:rPr>
          <w:lang w:val="fr-FR"/>
        </w:rPr>
      </w:pPr>
      <w:r>
        <w:rPr>
          <w:lang w:val="fr-FR"/>
        </w:rPr>
        <w:t>31.  Dans ces circonstances, la Cour ne saurait conclure que les mesures adoptées par l</w:t>
      </w:r>
      <w:r w:rsidR="00656E34">
        <w:rPr>
          <w:lang w:val="fr-FR"/>
        </w:rPr>
        <w:t>’</w:t>
      </w:r>
      <w:r>
        <w:rPr>
          <w:lang w:val="fr-FR"/>
        </w:rPr>
        <w:t>État afin de garantir aux requérants un respect effectif de leur vie privée ou familiale en dépit de leur insertion dans le programme de protection pour témoins ont été manifestement inadéquates ou insuffisantes. Les autorités italiennes ne sont pas parvenues à des conclusions arbitraires et n</w:t>
      </w:r>
      <w:r w:rsidR="00656E34">
        <w:rPr>
          <w:lang w:val="fr-FR"/>
        </w:rPr>
        <w:t>’</w:t>
      </w:r>
      <w:r>
        <w:rPr>
          <w:lang w:val="fr-FR"/>
        </w:rPr>
        <w:t>ont pas dépassé la marge d</w:t>
      </w:r>
      <w:r w:rsidR="00656E34">
        <w:rPr>
          <w:lang w:val="fr-FR"/>
        </w:rPr>
        <w:t>’</w:t>
      </w:r>
      <w:r>
        <w:rPr>
          <w:lang w:val="fr-FR"/>
        </w:rPr>
        <w:t>appréciation dont elles jouissent en la matière.</w:t>
      </w:r>
    </w:p>
    <w:p w:rsidR="008B3A45" w:rsidRPr="00E21176" w:rsidRDefault="008B3A45" w:rsidP="0099548A">
      <w:pPr>
        <w:pStyle w:val="ECHRPara"/>
        <w:rPr>
          <w:lang w:val="fr-FR"/>
        </w:rPr>
      </w:pPr>
      <w:r>
        <w:rPr>
          <w:snapToGrid w:val="0"/>
          <w:lang w:val="fr-FR"/>
        </w:rPr>
        <w:t>32.  </w:t>
      </w:r>
      <w:r w:rsidRPr="006C7543">
        <w:rPr>
          <w:snapToGrid w:val="0"/>
          <w:lang w:val="fr-FR"/>
        </w:rPr>
        <w:t>Il s</w:t>
      </w:r>
      <w:r w:rsidR="00656E34">
        <w:rPr>
          <w:snapToGrid w:val="0"/>
          <w:lang w:val="fr-FR"/>
        </w:rPr>
        <w:t>’</w:t>
      </w:r>
      <w:r w:rsidRPr="006C7543">
        <w:rPr>
          <w:snapToGrid w:val="0"/>
          <w:lang w:val="fr-FR"/>
        </w:rPr>
        <w:t xml:space="preserve">ensuit que </w:t>
      </w:r>
      <w:r>
        <w:rPr>
          <w:snapToGrid w:val="0"/>
          <w:lang w:val="fr-FR"/>
        </w:rPr>
        <w:t>la requête</w:t>
      </w:r>
      <w:r w:rsidRPr="006C7543">
        <w:rPr>
          <w:snapToGrid w:val="0"/>
          <w:lang w:val="fr-FR"/>
        </w:rPr>
        <w:t xml:space="preserve"> est manifestement mal fondé</w:t>
      </w:r>
      <w:r>
        <w:rPr>
          <w:snapToGrid w:val="0"/>
          <w:lang w:val="fr-FR"/>
        </w:rPr>
        <w:t>e</w:t>
      </w:r>
      <w:r w:rsidRPr="006C7543">
        <w:rPr>
          <w:snapToGrid w:val="0"/>
          <w:lang w:val="fr-FR"/>
        </w:rPr>
        <w:t xml:space="preserve"> et doit être rejeté</w:t>
      </w:r>
      <w:r>
        <w:rPr>
          <w:snapToGrid w:val="0"/>
          <w:lang w:val="fr-FR"/>
        </w:rPr>
        <w:t>e</w:t>
      </w:r>
      <w:r w:rsidRPr="006C7543">
        <w:rPr>
          <w:snapToGrid w:val="0"/>
          <w:lang w:val="fr-FR"/>
        </w:rPr>
        <w:t xml:space="preserve"> en application de l</w:t>
      </w:r>
      <w:r w:rsidR="00656E34">
        <w:rPr>
          <w:snapToGrid w:val="0"/>
          <w:lang w:val="fr-FR"/>
        </w:rPr>
        <w:t>’</w:t>
      </w:r>
      <w:r w:rsidRPr="006C7543">
        <w:rPr>
          <w:snapToGrid w:val="0"/>
          <w:lang w:val="fr-FR"/>
        </w:rPr>
        <w:t>article 35 §§ 3</w:t>
      </w:r>
      <w:r w:rsidR="0099772D">
        <w:rPr>
          <w:snapToGrid w:val="0"/>
          <w:lang w:val="fr-FR"/>
        </w:rPr>
        <w:t xml:space="preserve"> </w:t>
      </w:r>
      <w:r w:rsidRPr="006C7543">
        <w:rPr>
          <w:lang w:val="fr-FR"/>
        </w:rPr>
        <w:t xml:space="preserve">a) </w:t>
      </w:r>
      <w:r w:rsidRPr="006C7543">
        <w:rPr>
          <w:snapToGrid w:val="0"/>
          <w:lang w:val="fr-FR"/>
        </w:rPr>
        <w:t>et 4 de la Convention.</w:t>
      </w:r>
    </w:p>
    <w:p w:rsidR="008B3A45" w:rsidRPr="00E21176" w:rsidRDefault="008B3A45" w:rsidP="008B3A45">
      <w:pPr>
        <w:pStyle w:val="DecList"/>
        <w:keepNext/>
        <w:keepLines/>
        <w:rPr>
          <w:lang w:val="fr-FR"/>
        </w:rPr>
      </w:pPr>
      <w:r w:rsidRPr="00E21176">
        <w:rPr>
          <w:lang w:val="fr-FR"/>
        </w:rPr>
        <w:lastRenderedPageBreak/>
        <w:t>Par ces motifs, la Cour, à l</w:t>
      </w:r>
      <w:r w:rsidR="00656E34">
        <w:rPr>
          <w:lang w:val="fr-FR"/>
        </w:rPr>
        <w:t>’</w:t>
      </w:r>
      <w:r w:rsidRPr="00E21176">
        <w:rPr>
          <w:lang w:val="fr-FR"/>
        </w:rPr>
        <w:t>unanimité,</w:t>
      </w:r>
    </w:p>
    <w:p w:rsidR="008B3A45" w:rsidRPr="00E21176" w:rsidRDefault="008B3A45" w:rsidP="008B3A45">
      <w:pPr>
        <w:pStyle w:val="DecList"/>
        <w:keepNext/>
        <w:keepLines/>
        <w:rPr>
          <w:lang w:val="fr-FR"/>
        </w:rPr>
      </w:pPr>
      <w:r w:rsidRPr="00E21176">
        <w:rPr>
          <w:i/>
          <w:lang w:val="fr-FR"/>
        </w:rPr>
        <w:t xml:space="preserve">Déclare </w:t>
      </w:r>
      <w:r w:rsidRPr="00E21176">
        <w:rPr>
          <w:lang w:val="fr-FR"/>
        </w:rPr>
        <w:t>la requête irrecevable.</w:t>
      </w:r>
    </w:p>
    <w:p w:rsidR="006544C4" w:rsidRPr="00AD4F05" w:rsidRDefault="006544C4" w:rsidP="008B3A45">
      <w:pPr>
        <w:pStyle w:val="ECHRPara"/>
        <w:keepNext/>
        <w:keepLines/>
        <w:rPr>
          <w:sz w:val="2"/>
          <w:szCs w:val="2"/>
          <w:lang w:val="fr-FR" w:eastAsia="en-GB"/>
        </w:rPr>
      </w:pPr>
    </w:p>
    <w:p w:rsidR="006F19B0" w:rsidRPr="00AD4F05" w:rsidRDefault="00F40988" w:rsidP="008B3A45">
      <w:pPr>
        <w:pStyle w:val="JuParaLast"/>
        <w:rPr>
          <w:lang w:val="fr-FR"/>
        </w:rPr>
      </w:pPr>
      <w:r w:rsidRPr="00AD4F05">
        <w:rPr>
          <w:szCs w:val="24"/>
          <w:lang w:val="fr-FR"/>
        </w:rPr>
        <w:t xml:space="preserve">Fait en français puis communiqué par écrit le </w:t>
      </w:r>
      <w:r w:rsidR="008B3A45">
        <w:rPr>
          <w:lang w:val="fr-FR"/>
        </w:rPr>
        <w:t>29 octobre 2015</w:t>
      </w:r>
      <w:r w:rsidRPr="00AD4F05">
        <w:rPr>
          <w:lang w:val="fr-FR"/>
        </w:rPr>
        <w:t>.</w:t>
      </w:r>
    </w:p>
    <w:p w:rsidR="00234E8A" w:rsidRPr="00AD4F05" w:rsidRDefault="008B3A45" w:rsidP="0099772D">
      <w:pPr>
        <w:pStyle w:val="JuSigned"/>
        <w:keepNext/>
        <w:keepLines/>
        <w:rPr>
          <w:lang w:val="fr-FR"/>
        </w:rPr>
      </w:pPr>
      <w:r w:rsidRPr="00AD4F05">
        <w:rPr>
          <w:lang w:val="fr-FR"/>
        </w:rPr>
        <w:tab/>
      </w:r>
      <w:r w:rsidRPr="008B3A45">
        <w:rPr>
          <w:lang w:val="fr-FR"/>
        </w:rPr>
        <w:t>Fatoş Aracı</w:t>
      </w:r>
      <w:r w:rsidR="006544C4" w:rsidRPr="00AD4F05">
        <w:rPr>
          <w:lang w:val="fr-FR"/>
        </w:rPr>
        <w:tab/>
      </w:r>
      <w:r>
        <w:rPr>
          <w:lang w:val="fr-FR"/>
        </w:rPr>
        <w:t>Päivi</w:t>
      </w:r>
      <w:r w:rsidRPr="00AD4F05">
        <w:rPr>
          <w:lang w:val="fr-FR"/>
        </w:rPr>
        <w:t xml:space="preserve"> </w:t>
      </w:r>
      <w:r>
        <w:rPr>
          <w:lang w:val="fr-FR"/>
        </w:rPr>
        <w:t>Hirvelä</w:t>
      </w:r>
      <w:r w:rsidR="006544C4" w:rsidRPr="00AD4F05">
        <w:rPr>
          <w:lang w:val="fr-FR"/>
        </w:rPr>
        <w:br/>
      </w:r>
      <w:r w:rsidR="006544C4" w:rsidRPr="00AD4F05">
        <w:rPr>
          <w:lang w:val="fr-FR"/>
        </w:rPr>
        <w:tab/>
      </w:r>
      <w:r>
        <w:rPr>
          <w:lang w:val="fr-FR"/>
        </w:rPr>
        <w:t>Greffière adjointe</w:t>
      </w:r>
      <w:r w:rsidR="006544C4" w:rsidRPr="00AD4F05">
        <w:rPr>
          <w:lang w:val="fr-FR"/>
        </w:rPr>
        <w:tab/>
      </w:r>
      <w:r w:rsidRPr="00AD4F05">
        <w:rPr>
          <w:lang w:val="fr-FR"/>
        </w:rPr>
        <w:t>Présidente</w:t>
      </w:r>
    </w:p>
    <w:sectPr w:rsidR="00234E8A" w:rsidRPr="00AD4F05"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E02" w:rsidRDefault="00C24E02" w:rsidP="006544C4">
      <w:r>
        <w:separator/>
      </w:r>
    </w:p>
  </w:endnote>
  <w:endnote w:type="continuationSeparator" w:id="0">
    <w:p w:rsidR="00C24E02" w:rsidRDefault="00C24E02"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A45" w:rsidRPr="00150BFA" w:rsidRDefault="008B3A45" w:rsidP="0020718E">
    <w:pPr>
      <w:jc w:val="center"/>
    </w:pPr>
    <w:r>
      <w:rPr>
        <w:noProof/>
        <w:lang w:val="it-IT" w:eastAsia="it-IT"/>
      </w:rPr>
      <w:drawing>
        <wp:inline distT="0" distB="0" distL="0" distR="0" wp14:anchorId="1F3BCA64" wp14:editId="53D0213D">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633A19" w:rsidRDefault="00C24E02"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E02" w:rsidRDefault="00C24E02" w:rsidP="006544C4">
      <w:r>
        <w:separator/>
      </w:r>
    </w:p>
  </w:footnote>
  <w:footnote w:type="continuationSeparator" w:id="0">
    <w:p w:rsidR="00C24E02" w:rsidRDefault="00C24E02"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8B3A45" w:rsidRDefault="008B3A45" w:rsidP="003312A3">
    <w:pPr>
      <w:pStyle w:val="ECHRHeader"/>
      <w:rPr>
        <w:lang w:val="fr-FR"/>
      </w:rPr>
    </w:pPr>
    <w:r>
      <w:rPr>
        <w:rStyle w:val="Numeropagina"/>
        <w:lang w:val="en-GB"/>
      </w:rPr>
      <w:fldChar w:fldCharType="begin"/>
    </w:r>
    <w:r w:rsidRPr="008B3A45">
      <w:rPr>
        <w:rStyle w:val="Numeropagina"/>
        <w:lang w:val="fr-FR"/>
      </w:rPr>
      <w:instrText xml:space="preserve"> PAGE </w:instrText>
    </w:r>
    <w:r>
      <w:rPr>
        <w:rStyle w:val="Numeropagina"/>
        <w:lang w:val="en-GB"/>
      </w:rPr>
      <w:fldChar w:fldCharType="separate"/>
    </w:r>
    <w:r w:rsidR="00CE28AD">
      <w:rPr>
        <w:rStyle w:val="Numeropagina"/>
        <w:noProof/>
        <w:lang w:val="fr-FR"/>
      </w:rPr>
      <w:t>8</w:t>
    </w:r>
    <w:r>
      <w:rPr>
        <w:rStyle w:val="Numeropagina"/>
        <w:lang w:val="en-GB"/>
      </w:rPr>
      <w:fldChar w:fldCharType="end"/>
    </w:r>
    <w:r w:rsidR="00334EC5" w:rsidRPr="008B3A45">
      <w:rPr>
        <w:lang w:val="fr-FR"/>
      </w:rPr>
      <w:tab/>
      <w:t xml:space="preserve">DÉCISION </w:t>
    </w:r>
    <w:r w:rsidRPr="008B3A45">
      <w:rPr>
        <w:lang w:val="fr-FR"/>
      </w:rPr>
      <w:t>A.C. ET F.I.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8B3A45" w:rsidRDefault="00334EC5" w:rsidP="006544C4">
    <w:pPr>
      <w:pStyle w:val="ECHRHeader"/>
      <w:rPr>
        <w:lang w:val="fr-FR"/>
      </w:rPr>
    </w:pPr>
    <w:r>
      <w:tab/>
    </w:r>
    <w:r w:rsidRPr="008B3A45">
      <w:rPr>
        <w:lang w:val="fr-FR"/>
      </w:rPr>
      <w:t xml:space="preserve">DÉCISION </w:t>
    </w:r>
    <w:r w:rsidR="008B3A45" w:rsidRPr="008B3A45">
      <w:rPr>
        <w:lang w:val="fr-FR"/>
      </w:rPr>
      <w:t>A.C. ET F.I. c. ITALIE</w:t>
    </w:r>
    <w:r w:rsidRPr="008B3A45">
      <w:rPr>
        <w:lang w:val="fr-FR"/>
      </w:rPr>
      <w:tab/>
    </w:r>
    <w:r w:rsidR="008B3A45">
      <w:rPr>
        <w:rStyle w:val="Numeropagina"/>
        <w:lang w:val="en-GB"/>
      </w:rPr>
      <w:fldChar w:fldCharType="begin"/>
    </w:r>
    <w:r w:rsidR="008B3A45" w:rsidRPr="008B3A45">
      <w:rPr>
        <w:rStyle w:val="Numeropagina"/>
        <w:lang w:val="fr-FR"/>
      </w:rPr>
      <w:instrText xml:space="preserve"> PAGE </w:instrText>
    </w:r>
    <w:r w:rsidR="008B3A45">
      <w:rPr>
        <w:rStyle w:val="Numeropagina"/>
        <w:lang w:val="en-GB"/>
      </w:rPr>
      <w:fldChar w:fldCharType="separate"/>
    </w:r>
    <w:r w:rsidR="00CE28AD">
      <w:rPr>
        <w:rStyle w:val="Numeropagina"/>
        <w:noProof/>
        <w:lang w:val="fr-FR"/>
      </w:rPr>
      <w:t>7</w:t>
    </w:r>
    <w:r w:rsidR="008B3A45">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A45" w:rsidRPr="00A45145" w:rsidRDefault="008B3A45" w:rsidP="00A45145">
    <w:pPr>
      <w:jc w:val="center"/>
    </w:pPr>
    <w:r>
      <w:rPr>
        <w:noProof/>
        <w:lang w:val="it-IT" w:eastAsia="it-IT"/>
      </w:rPr>
      <w:drawing>
        <wp:inline distT="0" distB="0" distL="0" distR="0" wp14:anchorId="2B3678DC" wp14:editId="63C7653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Default="00C24E02"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7"/>
  </w:num>
  <w:num w:numId="2">
    <w:abstractNumId w:val="6"/>
  </w:num>
  <w:num w:numId="3">
    <w:abstractNumId w:val="10"/>
  </w:num>
  <w:num w:numId="4">
    <w:abstractNumId w:val="11"/>
  </w:num>
  <w:num w:numId="5">
    <w:abstractNumId w:val="13"/>
  </w:num>
  <w:num w:numId="6">
    <w:abstractNumId w:val="9"/>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1"/>
    <w:docVar w:name="SignForeName" w:val="0"/>
  </w:docVars>
  <w:rsids>
    <w:rsidRoot w:val="008B3A45"/>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07EF"/>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56E3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3A45"/>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4A97"/>
    <w:rsid w:val="00936CD1"/>
    <w:rsid w:val="00941747"/>
    <w:rsid w:val="00941EFB"/>
    <w:rsid w:val="00947AFB"/>
    <w:rsid w:val="00951D7D"/>
    <w:rsid w:val="009630C7"/>
    <w:rsid w:val="00972B55"/>
    <w:rsid w:val="009743B7"/>
    <w:rsid w:val="00977DA8"/>
    <w:rsid w:val="0098228B"/>
    <w:rsid w:val="009828DA"/>
    <w:rsid w:val="00985BAB"/>
    <w:rsid w:val="0099772D"/>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24E02"/>
    <w:rsid w:val="00C32E4D"/>
    <w:rsid w:val="00C333A0"/>
    <w:rsid w:val="00C36408"/>
    <w:rsid w:val="00C36A81"/>
    <w:rsid w:val="00C41974"/>
    <w:rsid w:val="00C53F4A"/>
    <w:rsid w:val="00C54125"/>
    <w:rsid w:val="00C55B54"/>
    <w:rsid w:val="00C6098E"/>
    <w:rsid w:val="00C6152C"/>
    <w:rsid w:val="00C74810"/>
    <w:rsid w:val="00C90D68"/>
    <w:rsid w:val="00C939FE"/>
    <w:rsid w:val="00CA2ADB"/>
    <w:rsid w:val="00CA4BDA"/>
    <w:rsid w:val="00CB1F66"/>
    <w:rsid w:val="00CB2951"/>
    <w:rsid w:val="00CD282B"/>
    <w:rsid w:val="00CD4C35"/>
    <w:rsid w:val="00CD7369"/>
    <w:rsid w:val="00CE0B0E"/>
    <w:rsid w:val="00CE28AD"/>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3ED5"/>
    <w:rsid w:val="00DD6EE5"/>
    <w:rsid w:val="00DE386C"/>
    <w:rsid w:val="00DE4D35"/>
    <w:rsid w:val="00DF098B"/>
    <w:rsid w:val="00DF1114"/>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A685B"/>
    <w:rsid w:val="00FB0C01"/>
    <w:rsid w:val="00FC18F2"/>
    <w:rsid w:val="00FC39E5"/>
    <w:rsid w:val="00FC3A78"/>
    <w:rsid w:val="00FD1005"/>
    <w:rsid w:val="00FD6C75"/>
    <w:rsid w:val="00FE02B1"/>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8B3A45"/>
    <w:pPr>
      <w:jc w:val="both"/>
    </w:pPr>
    <w:rPr>
      <w:rFonts w:eastAsiaTheme="minorEastAsia"/>
      <w:sz w:val="24"/>
    </w:rPr>
  </w:style>
  <w:style w:type="paragraph" w:styleId="Titolo1">
    <w:name w:val="heading 1"/>
    <w:basedOn w:val="Normale"/>
    <w:next w:val="Normale"/>
    <w:link w:val="Titolo1Carattere"/>
    <w:uiPriority w:val="99"/>
    <w:semiHidden/>
    <w:rsid w:val="008B3A45"/>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8B3A45"/>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8B3A45"/>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8B3A45"/>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8B3A45"/>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8B3A45"/>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8B3A45"/>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8B3A45"/>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8B3A45"/>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8B3A4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3A45"/>
    <w:rPr>
      <w:rFonts w:ascii="Tahoma" w:eastAsiaTheme="minorEastAsia" w:hAnsi="Tahoma" w:cs="Tahoma"/>
      <w:sz w:val="16"/>
      <w:szCs w:val="16"/>
    </w:rPr>
  </w:style>
  <w:style w:type="character" w:styleId="Titolodellibro">
    <w:name w:val="Book Title"/>
    <w:uiPriority w:val="99"/>
    <w:semiHidden/>
    <w:qFormat/>
    <w:rsid w:val="008B3A45"/>
    <w:rPr>
      <w:i/>
      <w:iCs/>
      <w:smallCaps/>
      <w:spacing w:val="5"/>
    </w:rPr>
  </w:style>
  <w:style w:type="paragraph" w:customStyle="1" w:styleId="ECHRHeader">
    <w:name w:val="ECHR_Header"/>
    <w:aliases w:val="Ju_Header"/>
    <w:basedOn w:val="Intestazione"/>
    <w:uiPriority w:val="4"/>
    <w:qFormat/>
    <w:rsid w:val="008B3A45"/>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8B3A45"/>
    <w:pPr>
      <w:jc w:val="left"/>
    </w:pPr>
    <w:rPr>
      <w:sz w:val="8"/>
    </w:rPr>
  </w:style>
  <w:style w:type="character" w:styleId="Enfasigrassetto">
    <w:name w:val="Strong"/>
    <w:uiPriority w:val="99"/>
    <w:semiHidden/>
    <w:qFormat/>
    <w:rsid w:val="008B3A45"/>
    <w:rPr>
      <w:b/>
      <w:bCs/>
    </w:rPr>
  </w:style>
  <w:style w:type="paragraph" w:styleId="Nessunaspaziatura">
    <w:name w:val="No Spacing"/>
    <w:basedOn w:val="Normale"/>
    <w:link w:val="NessunaspaziaturaCarattere"/>
    <w:semiHidden/>
    <w:qFormat/>
    <w:rsid w:val="008B3A45"/>
    <w:rPr>
      <w:sz w:val="22"/>
    </w:rPr>
  </w:style>
  <w:style w:type="character" w:customStyle="1" w:styleId="NessunaspaziaturaCarattere">
    <w:name w:val="Nessuna spaziatura Carattere"/>
    <w:basedOn w:val="Carpredefinitoparagrafo"/>
    <w:link w:val="Nessunaspaziatura"/>
    <w:semiHidden/>
    <w:rsid w:val="008B3A45"/>
    <w:rPr>
      <w:rFonts w:eastAsiaTheme="minorEastAsia"/>
    </w:rPr>
  </w:style>
  <w:style w:type="paragraph" w:customStyle="1" w:styleId="ECHRFooterLine">
    <w:name w:val="ECHR_Footer_Line"/>
    <w:aliases w:val="Footer_Line"/>
    <w:basedOn w:val="Normale"/>
    <w:next w:val="ECHRFooter"/>
    <w:uiPriority w:val="57"/>
    <w:semiHidden/>
    <w:rsid w:val="008B3A45"/>
    <w:pPr>
      <w:pBdr>
        <w:top w:val="single" w:sz="6" w:space="1" w:color="5F5F5F"/>
      </w:pBdr>
      <w:tabs>
        <w:tab w:val="center" w:pos="4536"/>
        <w:tab w:val="right" w:pos="9696"/>
      </w:tabs>
      <w:ind w:left="-680" w:right="-680"/>
      <w:jc w:val="left"/>
    </w:pPr>
    <w:rPr>
      <w:color w:val="5F5F5F"/>
    </w:rPr>
  </w:style>
  <w:style w:type="paragraph" w:customStyle="1" w:styleId="ECHRParaQuote">
    <w:name w:val="ECHR_Para_Quote"/>
    <w:aliases w:val="Ju_Quot"/>
    <w:basedOn w:val="Normale"/>
    <w:uiPriority w:val="14"/>
    <w:qFormat/>
    <w:rsid w:val="008B3A45"/>
    <w:pPr>
      <w:spacing w:before="120" w:after="120"/>
      <w:ind w:left="425" w:firstLine="142"/>
    </w:pPr>
    <w:rPr>
      <w:sz w:val="20"/>
    </w:rPr>
  </w:style>
  <w:style w:type="paragraph" w:customStyle="1" w:styleId="JuAppQuestion">
    <w:name w:val="Ju_App_Question"/>
    <w:basedOn w:val="Normale"/>
    <w:uiPriority w:val="5"/>
    <w:qFormat/>
    <w:rsid w:val="008B3A45"/>
    <w:pPr>
      <w:numPr>
        <w:numId w:val="14"/>
      </w:numPr>
      <w:jc w:val="left"/>
    </w:pPr>
    <w:rPr>
      <w:b/>
    </w:rPr>
  </w:style>
  <w:style w:type="paragraph" w:customStyle="1" w:styleId="OpiPara">
    <w:name w:val="Opi_Para"/>
    <w:basedOn w:val="ECHRPara"/>
    <w:uiPriority w:val="46"/>
    <w:semiHidden/>
    <w:qFormat/>
    <w:rsid w:val="008B3A45"/>
  </w:style>
  <w:style w:type="paragraph" w:customStyle="1" w:styleId="JuParaSub">
    <w:name w:val="Ju_Para_Sub"/>
    <w:basedOn w:val="ECHRPara"/>
    <w:uiPriority w:val="13"/>
    <w:qFormat/>
    <w:rsid w:val="008B3A45"/>
    <w:pPr>
      <w:ind w:left="284"/>
    </w:pPr>
  </w:style>
  <w:style w:type="paragraph" w:customStyle="1" w:styleId="OpiParaSub">
    <w:name w:val="Opi_Para_Sub"/>
    <w:basedOn w:val="JuParaSub"/>
    <w:uiPriority w:val="47"/>
    <w:semiHidden/>
    <w:qFormat/>
    <w:rsid w:val="008B3A45"/>
  </w:style>
  <w:style w:type="paragraph" w:customStyle="1" w:styleId="ECHRTitleCentre3">
    <w:name w:val="ECHR_Title_Centre_3"/>
    <w:aliases w:val="Ju_H_Article"/>
    <w:basedOn w:val="Normale"/>
    <w:next w:val="ECHRParaQuote"/>
    <w:uiPriority w:val="27"/>
    <w:qFormat/>
    <w:rsid w:val="008B3A45"/>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8B3A45"/>
    <w:pPr>
      <w:keepNext/>
      <w:keepLines/>
      <w:spacing w:after="240"/>
      <w:jc w:val="center"/>
      <w:outlineLvl w:val="0"/>
    </w:pPr>
    <w:rPr>
      <w:rFonts w:asciiTheme="majorHAnsi" w:hAnsiTheme="majorHAnsi"/>
      <w:sz w:val="28"/>
    </w:rPr>
  </w:style>
  <w:style w:type="paragraph" w:customStyle="1" w:styleId="OpiQuot">
    <w:name w:val="Opi_Quot"/>
    <w:basedOn w:val="ECHRParaQuote"/>
    <w:uiPriority w:val="48"/>
    <w:semiHidden/>
    <w:qFormat/>
    <w:rsid w:val="008B3A45"/>
  </w:style>
  <w:style w:type="paragraph" w:customStyle="1" w:styleId="ECHRTitle1">
    <w:name w:val="ECHR_Title_1"/>
    <w:aliases w:val="Ju_H_Head"/>
    <w:basedOn w:val="Normale"/>
    <w:next w:val="ECHRPara"/>
    <w:uiPriority w:val="18"/>
    <w:qFormat/>
    <w:rsid w:val="008B3A45"/>
    <w:pPr>
      <w:keepNext/>
      <w:keepLines/>
      <w:spacing w:before="720" w:after="240"/>
      <w:outlineLvl w:val="0"/>
    </w:pPr>
    <w:rPr>
      <w:rFonts w:asciiTheme="majorHAnsi" w:hAnsiTheme="majorHAnsi"/>
      <w:sz w:val="28"/>
    </w:rPr>
  </w:style>
  <w:style w:type="paragraph" w:customStyle="1" w:styleId="OpiQuotSub">
    <w:name w:val="Opi_Quot_Sub"/>
    <w:basedOn w:val="JuQuotSub"/>
    <w:uiPriority w:val="49"/>
    <w:semiHidden/>
    <w:qFormat/>
    <w:rsid w:val="008B3A45"/>
  </w:style>
  <w:style w:type="paragraph" w:styleId="Titolo">
    <w:name w:val="Title"/>
    <w:basedOn w:val="Normale"/>
    <w:next w:val="Normale"/>
    <w:link w:val="TitoloCarattere"/>
    <w:uiPriority w:val="99"/>
    <w:semiHidden/>
    <w:qFormat/>
    <w:rsid w:val="008B3A4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8B3A45"/>
    <w:rPr>
      <w:rFonts w:asciiTheme="majorHAnsi" w:eastAsiaTheme="majorEastAsia" w:hAnsiTheme="majorHAnsi" w:cstheme="majorBidi"/>
      <w:spacing w:val="5"/>
      <w:sz w:val="52"/>
      <w:szCs w:val="52"/>
      <w:lang w:bidi="en-US"/>
    </w:rPr>
  </w:style>
  <w:style w:type="paragraph" w:customStyle="1" w:styleId="JuCase">
    <w:name w:val="Ju_Case"/>
    <w:basedOn w:val="Normale"/>
    <w:next w:val="ECHRPara"/>
    <w:uiPriority w:val="10"/>
    <w:semiHidden/>
    <w:rsid w:val="008B3A45"/>
    <w:pPr>
      <w:ind w:firstLine="284"/>
    </w:pPr>
    <w:rPr>
      <w:b/>
    </w:rPr>
  </w:style>
  <w:style w:type="paragraph" w:customStyle="1" w:styleId="JuQuotSub">
    <w:name w:val="Ju_Quot_Sub"/>
    <w:basedOn w:val="ECHRParaQuote"/>
    <w:uiPriority w:val="15"/>
    <w:qFormat/>
    <w:rsid w:val="008B3A45"/>
    <w:pPr>
      <w:ind w:left="567"/>
    </w:pPr>
  </w:style>
  <w:style w:type="paragraph" w:customStyle="1" w:styleId="JuInitialled">
    <w:name w:val="Ju_Initialled"/>
    <w:basedOn w:val="Normale"/>
    <w:uiPriority w:val="31"/>
    <w:qFormat/>
    <w:rsid w:val="008B3A45"/>
    <w:pPr>
      <w:tabs>
        <w:tab w:val="center" w:pos="6407"/>
      </w:tabs>
      <w:spacing w:before="720"/>
      <w:jc w:val="right"/>
    </w:pPr>
  </w:style>
  <w:style w:type="paragraph" w:customStyle="1" w:styleId="OpiHA">
    <w:name w:val="Opi_H_A"/>
    <w:basedOn w:val="ECHRHeading1"/>
    <w:next w:val="OpiPara"/>
    <w:uiPriority w:val="41"/>
    <w:semiHidden/>
    <w:qFormat/>
    <w:rsid w:val="008B3A45"/>
    <w:pPr>
      <w:tabs>
        <w:tab w:val="clear" w:pos="357"/>
      </w:tabs>
      <w:outlineLvl w:val="1"/>
    </w:pPr>
    <w:rPr>
      <w:b/>
    </w:rPr>
  </w:style>
  <w:style w:type="character" w:customStyle="1" w:styleId="JUNAMES">
    <w:name w:val="JU_NAMES"/>
    <w:uiPriority w:val="17"/>
    <w:qFormat/>
    <w:rsid w:val="008B3A45"/>
    <w:rPr>
      <w:caps w:val="0"/>
      <w:smallCaps/>
    </w:rPr>
  </w:style>
  <w:style w:type="paragraph" w:customStyle="1" w:styleId="ECHRHeading1">
    <w:name w:val="ECHR_Heading_1"/>
    <w:aliases w:val="Ju_H_I_Roman"/>
    <w:basedOn w:val="Titolo1"/>
    <w:next w:val="ECHRPara"/>
    <w:uiPriority w:val="19"/>
    <w:qFormat/>
    <w:rsid w:val="008B3A45"/>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8B3A45"/>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8B3A45"/>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8B3A45"/>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8B3A45"/>
    <w:rPr>
      <w:sz w:val="24"/>
    </w:rPr>
  </w:style>
  <w:style w:type="character" w:customStyle="1" w:styleId="Titolo1Carattere">
    <w:name w:val="Titolo 1 Carattere"/>
    <w:basedOn w:val="Carpredefinitoparagrafo"/>
    <w:link w:val="Titolo1"/>
    <w:uiPriority w:val="99"/>
    <w:semiHidden/>
    <w:rsid w:val="008B3A45"/>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8B3A45"/>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8B3A45"/>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8B3A45"/>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8B3A45"/>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8B3A45"/>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8B3A45"/>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8B3A45"/>
    <w:pPr>
      <w:keepNext/>
      <w:keepLines/>
      <w:spacing w:before="240"/>
      <w:ind w:firstLine="284"/>
    </w:pPr>
  </w:style>
  <w:style w:type="paragraph" w:customStyle="1" w:styleId="DecList">
    <w:name w:val="Dec_List"/>
    <w:basedOn w:val="Normale"/>
    <w:uiPriority w:val="9"/>
    <w:qFormat/>
    <w:rsid w:val="008B3A45"/>
    <w:pPr>
      <w:spacing w:before="240"/>
      <w:ind w:left="284"/>
    </w:pPr>
  </w:style>
  <w:style w:type="character" w:customStyle="1" w:styleId="Titolo4Carattere">
    <w:name w:val="Titolo 4 Carattere"/>
    <w:basedOn w:val="Carpredefinitoparagrafo"/>
    <w:link w:val="Titolo4"/>
    <w:uiPriority w:val="99"/>
    <w:semiHidden/>
    <w:rsid w:val="008B3A45"/>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8B3A45"/>
    <w:pPr>
      <w:tabs>
        <w:tab w:val="left" w:pos="567"/>
        <w:tab w:val="left" w:pos="1134"/>
      </w:tabs>
      <w:jc w:val="left"/>
    </w:pPr>
  </w:style>
  <w:style w:type="character" w:customStyle="1" w:styleId="Titolo5Carattere">
    <w:name w:val="Titolo 5 Carattere"/>
    <w:basedOn w:val="Carpredefinitoparagrafo"/>
    <w:link w:val="Titolo5"/>
    <w:uiPriority w:val="99"/>
    <w:semiHidden/>
    <w:rsid w:val="008B3A45"/>
    <w:rPr>
      <w:rFonts w:asciiTheme="majorHAnsi" w:eastAsiaTheme="majorEastAsia" w:hAnsiTheme="majorHAnsi" w:cstheme="majorBidi"/>
      <w:b/>
      <w:bCs/>
      <w:color w:val="808080"/>
    </w:rPr>
  </w:style>
  <w:style w:type="character" w:customStyle="1" w:styleId="JuITMark">
    <w:name w:val="Ju_ITMark"/>
    <w:basedOn w:val="Carpredefinitoparagrafo"/>
    <w:uiPriority w:val="38"/>
    <w:qFormat/>
    <w:rsid w:val="008B3A45"/>
    <w:rPr>
      <w:vanish w:val="0"/>
      <w:color w:val="auto"/>
      <w:sz w:val="14"/>
    </w:rPr>
  </w:style>
  <w:style w:type="paragraph" w:customStyle="1" w:styleId="OpiTranslation">
    <w:name w:val="Opi_Translation"/>
    <w:basedOn w:val="Normale"/>
    <w:next w:val="OpiPara"/>
    <w:uiPriority w:val="40"/>
    <w:semiHidden/>
    <w:qFormat/>
    <w:rsid w:val="008B3A45"/>
    <w:pPr>
      <w:jc w:val="center"/>
      <w:outlineLvl w:val="0"/>
    </w:pPr>
    <w:rPr>
      <w:i/>
    </w:rPr>
  </w:style>
  <w:style w:type="character" w:styleId="Enfasidelicata">
    <w:name w:val="Subtle Emphasis"/>
    <w:uiPriority w:val="99"/>
    <w:semiHidden/>
    <w:qFormat/>
    <w:rsid w:val="008B3A45"/>
    <w:rPr>
      <w:i/>
      <w:iCs/>
    </w:rPr>
  </w:style>
  <w:style w:type="paragraph" w:customStyle="1" w:styleId="JuCourt">
    <w:name w:val="Ju_Court"/>
    <w:basedOn w:val="Normale"/>
    <w:next w:val="Normale"/>
    <w:uiPriority w:val="16"/>
    <w:qFormat/>
    <w:rsid w:val="008B3A45"/>
    <w:pPr>
      <w:tabs>
        <w:tab w:val="left" w:pos="907"/>
        <w:tab w:val="left" w:pos="1701"/>
        <w:tab w:val="right" w:pos="7371"/>
      </w:tabs>
      <w:spacing w:before="240"/>
      <w:ind w:left="397" w:hanging="397"/>
      <w:jc w:val="left"/>
    </w:pPr>
    <w:rPr>
      <w:lang w:bidi="en-U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
    <w:name w:val="Ju_List"/>
    <w:basedOn w:val="Normale"/>
    <w:uiPriority w:val="28"/>
    <w:qFormat/>
    <w:rsid w:val="008B3A45"/>
    <w:pPr>
      <w:ind w:left="340" w:hanging="340"/>
    </w:pPr>
  </w:style>
  <w:style w:type="paragraph" w:customStyle="1" w:styleId="JuLista">
    <w:name w:val="Ju_List_a"/>
    <w:basedOn w:val="JuList"/>
    <w:uiPriority w:val="28"/>
    <w:qFormat/>
    <w:rsid w:val="008B3A45"/>
    <w:pPr>
      <w:ind w:left="346" w:firstLine="0"/>
    </w:pPr>
  </w:style>
  <w:style w:type="paragraph" w:customStyle="1" w:styleId="ECHRTitleCentre2">
    <w:name w:val="ECHR_Title_Centre_2"/>
    <w:aliases w:val="Dec_H_Case"/>
    <w:basedOn w:val="Normale"/>
    <w:next w:val="ECHRPara"/>
    <w:uiPriority w:val="8"/>
    <w:qFormat/>
    <w:rsid w:val="008B3A45"/>
    <w:pPr>
      <w:spacing w:after="240"/>
      <w:jc w:val="center"/>
      <w:outlineLvl w:val="0"/>
    </w:pPr>
    <w:rPr>
      <w:rFonts w:asciiTheme="majorHAnsi" w:hAnsiTheme="majorHAnsi"/>
    </w:rPr>
  </w:style>
  <w:style w:type="character" w:styleId="Enfasicorsivo">
    <w:name w:val="Emphasis"/>
    <w:uiPriority w:val="99"/>
    <w:semiHidden/>
    <w:qFormat/>
    <w:rsid w:val="008B3A45"/>
    <w:rPr>
      <w:b/>
      <w:bCs/>
      <w:i/>
      <w:iCs/>
      <w:spacing w:val="10"/>
      <w:bdr w:val="none" w:sz="0" w:space="0" w:color="auto"/>
      <w:shd w:val="clear" w:color="auto" w:fill="auto"/>
    </w:rPr>
  </w:style>
  <w:style w:type="paragraph" w:styleId="Pidipagina">
    <w:name w:val="footer"/>
    <w:basedOn w:val="Normale"/>
    <w:link w:val="PidipaginaCarattere"/>
    <w:uiPriority w:val="57"/>
    <w:semiHidden/>
    <w:rsid w:val="008B3A45"/>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8B3A45"/>
    <w:rPr>
      <w:sz w:val="24"/>
    </w:rPr>
  </w:style>
  <w:style w:type="character" w:styleId="Rimandonotaapidipagina">
    <w:name w:val="footnote reference"/>
    <w:basedOn w:val="Carpredefinitoparagrafo"/>
    <w:uiPriority w:val="99"/>
    <w:semiHidden/>
    <w:rsid w:val="008B3A45"/>
    <w:rPr>
      <w:vertAlign w:val="superscript"/>
    </w:rPr>
  </w:style>
  <w:style w:type="paragraph" w:styleId="Testonotaapidipagina">
    <w:name w:val="footnote text"/>
    <w:basedOn w:val="Normale"/>
    <w:link w:val="TestonotaapidipaginaCarattere"/>
    <w:uiPriority w:val="99"/>
    <w:semiHidden/>
    <w:rsid w:val="008B3A45"/>
    <w:rPr>
      <w:sz w:val="20"/>
      <w:szCs w:val="20"/>
    </w:rPr>
  </w:style>
  <w:style w:type="character" w:customStyle="1" w:styleId="TestonotaapidipaginaCarattere">
    <w:name w:val="Testo nota a piè di pagina Carattere"/>
    <w:basedOn w:val="Carpredefinitoparagrafo"/>
    <w:link w:val="Testonotaapidipagina"/>
    <w:uiPriority w:val="99"/>
    <w:semiHidden/>
    <w:rsid w:val="008B3A45"/>
    <w:rPr>
      <w:rFonts w:eastAsiaTheme="minorEastAsia"/>
      <w:sz w:val="20"/>
      <w:szCs w:val="20"/>
    </w:rPr>
  </w:style>
  <w:style w:type="character" w:customStyle="1" w:styleId="Titolo6Carattere">
    <w:name w:val="Titolo 6 Carattere"/>
    <w:basedOn w:val="Carpredefinitoparagrafo"/>
    <w:link w:val="Titolo6"/>
    <w:uiPriority w:val="99"/>
    <w:semiHidden/>
    <w:rsid w:val="008B3A45"/>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8B3A45"/>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8B3A45"/>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8B3A45"/>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8B3A45"/>
    <w:rPr>
      <w:color w:val="0072BC" w:themeColor="hyperlink"/>
      <w:u w:val="single"/>
    </w:rPr>
  </w:style>
  <w:style w:type="character" w:styleId="Enfasiintensa">
    <w:name w:val="Intense Emphasis"/>
    <w:uiPriority w:val="99"/>
    <w:semiHidden/>
    <w:qFormat/>
    <w:rsid w:val="008B3A45"/>
    <w:rPr>
      <w:b/>
      <w:bCs/>
    </w:rPr>
  </w:style>
  <w:style w:type="paragraph" w:styleId="Citazioneintensa">
    <w:name w:val="Intense Quote"/>
    <w:basedOn w:val="Normale"/>
    <w:next w:val="Normale"/>
    <w:link w:val="CitazioneintensaCarattere"/>
    <w:uiPriority w:val="99"/>
    <w:semiHidden/>
    <w:qFormat/>
    <w:rsid w:val="008B3A45"/>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8B3A45"/>
    <w:rPr>
      <w:rFonts w:eastAsiaTheme="minorEastAsia"/>
      <w:b/>
      <w:bCs/>
      <w:i/>
      <w:iCs/>
      <w:lang w:bidi="en-US"/>
    </w:rPr>
  </w:style>
  <w:style w:type="character" w:styleId="Riferimentointenso">
    <w:name w:val="Intense Reference"/>
    <w:uiPriority w:val="99"/>
    <w:semiHidden/>
    <w:qFormat/>
    <w:rsid w:val="008B3A45"/>
    <w:rPr>
      <w:smallCaps/>
      <w:spacing w:val="5"/>
      <w:u w:val="single"/>
    </w:rPr>
  </w:style>
  <w:style w:type="paragraph" w:styleId="Paragrafoelenco">
    <w:name w:val="List Paragraph"/>
    <w:basedOn w:val="Normale"/>
    <w:uiPriority w:val="99"/>
    <w:semiHidden/>
    <w:qFormat/>
    <w:rsid w:val="008B3A45"/>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8B3A45"/>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8B3A45"/>
    <w:rPr>
      <w:rFonts w:eastAsiaTheme="minorEastAsia"/>
      <w:i/>
      <w:iCs/>
      <w:lang w:bidi="en-US"/>
    </w:rPr>
  </w:style>
  <w:style w:type="character" w:styleId="Riferimentodelicato">
    <w:name w:val="Subtle Reference"/>
    <w:uiPriority w:val="99"/>
    <w:semiHidden/>
    <w:qFormat/>
    <w:rsid w:val="008B3A45"/>
    <w:rPr>
      <w:smallCaps/>
    </w:rPr>
  </w:style>
  <w:style w:type="table" w:styleId="Grigliatabella">
    <w:name w:val="Table Grid"/>
    <w:basedOn w:val="Tabellanormale"/>
    <w:uiPriority w:val="59"/>
    <w:semiHidden/>
    <w:rsid w:val="008B3A4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8B3A45"/>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8B3A45"/>
    <w:pPr>
      <w:spacing w:after="60"/>
      <w:ind w:left="680" w:right="340" w:hanging="340"/>
    </w:pPr>
  </w:style>
  <w:style w:type="paragraph" w:styleId="Sommario3">
    <w:name w:val="toc 3"/>
    <w:basedOn w:val="Normale"/>
    <w:next w:val="Normale"/>
    <w:autoRedefine/>
    <w:uiPriority w:val="99"/>
    <w:semiHidden/>
    <w:rsid w:val="008B3A45"/>
    <w:pPr>
      <w:spacing w:after="60"/>
      <w:ind w:left="1020" w:right="340" w:hanging="340"/>
    </w:pPr>
  </w:style>
  <w:style w:type="paragraph" w:styleId="Sommario4">
    <w:name w:val="toc 4"/>
    <w:basedOn w:val="Normale"/>
    <w:next w:val="Normale"/>
    <w:autoRedefine/>
    <w:uiPriority w:val="99"/>
    <w:semiHidden/>
    <w:rsid w:val="008B3A45"/>
    <w:pPr>
      <w:tabs>
        <w:tab w:val="right" w:leader="dot" w:pos="9017"/>
      </w:tabs>
      <w:spacing w:after="60"/>
      <w:ind w:left="1361" w:right="340" w:hanging="340"/>
    </w:pPr>
  </w:style>
  <w:style w:type="paragraph" w:styleId="Sommario5">
    <w:name w:val="toc 5"/>
    <w:basedOn w:val="Normale"/>
    <w:next w:val="Normale"/>
    <w:autoRedefine/>
    <w:uiPriority w:val="99"/>
    <w:semiHidden/>
    <w:rsid w:val="008B3A45"/>
    <w:pPr>
      <w:spacing w:after="60"/>
      <w:ind w:left="1701" w:right="340" w:hanging="340"/>
    </w:pPr>
  </w:style>
  <w:style w:type="paragraph" w:styleId="Titolosommario">
    <w:name w:val="TOC Heading"/>
    <w:basedOn w:val="Titolo1"/>
    <w:next w:val="Normale"/>
    <w:uiPriority w:val="99"/>
    <w:semiHidden/>
    <w:qFormat/>
    <w:rsid w:val="008B3A45"/>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8B3A45"/>
    <w:pPr>
      <w:spacing w:before="120"/>
    </w:pPr>
    <w:rPr>
      <w:rFonts w:asciiTheme="majorHAnsi" w:eastAsiaTheme="majorEastAsia" w:hAnsiTheme="majorHAnsi" w:cstheme="majorBidi"/>
      <w:b/>
      <w:bCs/>
      <w:color w:val="474747" w:themeColor="accent3" w:themeShade="BF"/>
      <w:szCs w:val="24"/>
    </w:rPr>
  </w:style>
  <w:style w:type="paragraph" w:customStyle="1" w:styleId="JuListi">
    <w:name w:val="Ju_List_i"/>
    <w:basedOn w:val="Normale"/>
    <w:next w:val="JuLista"/>
    <w:uiPriority w:val="28"/>
    <w:qFormat/>
    <w:rsid w:val="008B3A45"/>
    <w:pPr>
      <w:ind w:left="794"/>
    </w:pPr>
  </w:style>
  <w:style w:type="paragraph" w:customStyle="1" w:styleId="OpiH1">
    <w:name w:val="Opi_H_1"/>
    <w:basedOn w:val="ECHRHeading2"/>
    <w:uiPriority w:val="42"/>
    <w:semiHidden/>
    <w:qFormat/>
    <w:rsid w:val="008B3A45"/>
    <w:pPr>
      <w:ind w:left="635" w:hanging="357"/>
      <w:outlineLvl w:val="2"/>
    </w:pPr>
  </w:style>
  <w:style w:type="paragraph" w:styleId="Sottotitolo">
    <w:name w:val="Subtitle"/>
    <w:basedOn w:val="Normale"/>
    <w:next w:val="Normale"/>
    <w:link w:val="SottotitoloCarattere"/>
    <w:uiPriority w:val="99"/>
    <w:semiHidden/>
    <w:qFormat/>
    <w:rsid w:val="008B3A45"/>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uiPriority w:val="12"/>
    <w:qFormat/>
    <w:rsid w:val="008B3A45"/>
    <w:pPr>
      <w:ind w:firstLine="284"/>
    </w:pPr>
  </w:style>
  <w:style w:type="character" w:customStyle="1" w:styleId="SottotitoloCarattere">
    <w:name w:val="Sottotitolo Carattere"/>
    <w:basedOn w:val="Carpredefinitoparagrafo"/>
    <w:link w:val="Sottotitolo"/>
    <w:uiPriority w:val="99"/>
    <w:semiHidden/>
    <w:rsid w:val="008B3A45"/>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3"/>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8B3A45"/>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4"/>
      </w:numPr>
    </w:pPr>
  </w:style>
  <w:style w:type="numbering" w:styleId="ArticoloSezione">
    <w:name w:val="Outline List 3"/>
    <w:basedOn w:val="Nessunelenco"/>
    <w:uiPriority w:val="99"/>
    <w:semiHidden/>
    <w:unhideWhenUsed/>
    <w:rsid w:val="006544C4"/>
    <w:pPr>
      <w:numPr>
        <w:numId w:val="5"/>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8B3A45"/>
    <w:pPr>
      <w:tabs>
        <w:tab w:val="center" w:pos="851"/>
        <w:tab w:val="center" w:pos="6407"/>
      </w:tabs>
      <w:spacing w:before="720"/>
      <w:jc w:val="left"/>
    </w:pPr>
  </w:style>
  <w:style w:type="paragraph" w:customStyle="1" w:styleId="JuTitle">
    <w:name w:val="Ju_Title"/>
    <w:basedOn w:val="Normale"/>
    <w:next w:val="ECHRPara"/>
    <w:uiPriority w:val="3"/>
    <w:qFormat/>
    <w:rsid w:val="008B3A45"/>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8B3A45"/>
  </w:style>
  <w:style w:type="paragraph" w:styleId="Puntoelenco2">
    <w:name w:val="List Bullet 2"/>
    <w:basedOn w:val="Normale"/>
    <w:uiPriority w:val="99"/>
    <w:semiHidden/>
    <w:rsid w:val="006544C4"/>
    <w:pPr>
      <w:numPr>
        <w:numId w:val="1"/>
      </w:numPr>
      <w:contextualSpacing/>
    </w:pPr>
  </w:style>
  <w:style w:type="paragraph" w:styleId="Puntoelenco3">
    <w:name w:val="List Bullet 3"/>
    <w:basedOn w:val="Normale"/>
    <w:uiPriority w:val="99"/>
    <w:semiHidden/>
    <w:rsid w:val="006544C4"/>
    <w:pPr>
      <w:numPr>
        <w:numId w:val="2"/>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6"/>
      </w:numPr>
      <w:contextualSpacing/>
    </w:pPr>
  </w:style>
  <w:style w:type="paragraph" w:styleId="Puntoelenco4">
    <w:name w:val="List Bullet 4"/>
    <w:basedOn w:val="Normale"/>
    <w:uiPriority w:val="99"/>
    <w:semiHidden/>
    <w:rsid w:val="006544C4"/>
    <w:pPr>
      <w:numPr>
        <w:numId w:val="7"/>
      </w:numPr>
      <w:contextualSpacing/>
    </w:pPr>
  </w:style>
  <w:style w:type="paragraph" w:styleId="Puntoelenco5">
    <w:name w:val="List Bullet 5"/>
    <w:basedOn w:val="Normale"/>
    <w:uiPriority w:val="99"/>
    <w:semiHidden/>
    <w:rsid w:val="006544C4"/>
    <w:pPr>
      <w:numPr>
        <w:numId w:val="8"/>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9"/>
      </w:numPr>
      <w:contextualSpacing/>
    </w:pPr>
  </w:style>
  <w:style w:type="paragraph" w:styleId="Numeroelenco2">
    <w:name w:val="List Number 2"/>
    <w:basedOn w:val="Normale"/>
    <w:uiPriority w:val="99"/>
    <w:semiHidden/>
    <w:rsid w:val="006544C4"/>
    <w:pPr>
      <w:numPr>
        <w:numId w:val="10"/>
      </w:numPr>
      <w:contextualSpacing/>
    </w:pPr>
  </w:style>
  <w:style w:type="paragraph" w:styleId="Numeroelenco3">
    <w:name w:val="List Number 3"/>
    <w:basedOn w:val="Normale"/>
    <w:uiPriority w:val="99"/>
    <w:semiHidden/>
    <w:rsid w:val="006544C4"/>
    <w:pPr>
      <w:numPr>
        <w:numId w:val="11"/>
      </w:numPr>
      <w:contextualSpacing/>
    </w:pPr>
  </w:style>
  <w:style w:type="paragraph" w:styleId="Numeroelenco4">
    <w:name w:val="List Number 4"/>
    <w:basedOn w:val="Normale"/>
    <w:uiPriority w:val="99"/>
    <w:semiHidden/>
    <w:rsid w:val="006544C4"/>
    <w:pPr>
      <w:numPr>
        <w:numId w:val="12"/>
      </w:numPr>
      <w:contextualSpacing/>
    </w:pPr>
  </w:style>
  <w:style w:type="paragraph" w:styleId="Numeroelenco5">
    <w:name w:val="List Number 5"/>
    <w:basedOn w:val="Normale"/>
    <w:semiHidden/>
    <w:rsid w:val="006544C4"/>
    <w:pPr>
      <w:numPr>
        <w:numId w:val="13"/>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OpiHa0">
    <w:name w:val="Opi_H_a"/>
    <w:basedOn w:val="ECHRHeading3"/>
    <w:uiPriority w:val="43"/>
    <w:semiHidden/>
    <w:qFormat/>
    <w:rsid w:val="008B3A45"/>
    <w:pPr>
      <w:ind w:left="833" w:hanging="357"/>
      <w:outlineLvl w:val="3"/>
    </w:pPr>
    <w:rPr>
      <w:b/>
      <w:i w:val="0"/>
      <w:sz w:val="20"/>
    </w:rPr>
  </w:style>
  <w:style w:type="paragraph" w:customStyle="1" w:styleId="OpiHi">
    <w:name w:val="Opi_H_i"/>
    <w:basedOn w:val="ECHRHeading4"/>
    <w:uiPriority w:val="44"/>
    <w:semiHidden/>
    <w:qFormat/>
    <w:rsid w:val="008B3A45"/>
    <w:pPr>
      <w:ind w:left="1037" w:hanging="357"/>
      <w:outlineLvl w:val="4"/>
    </w:pPr>
    <w:rPr>
      <w:b w:val="0"/>
      <w:i/>
    </w:rPr>
  </w:style>
  <w:style w:type="character" w:customStyle="1" w:styleId="textcolumn">
    <w:name w:val="textcolumn"/>
    <w:basedOn w:val="Carpredefinitoparagrafo"/>
    <w:rsid w:val="008B3A45"/>
    <w:rPr>
      <w:rFonts w:ascii="Times New Roman" w:hAnsi="Times New Roman" w:cs="Times New Roman"/>
    </w:rPr>
  </w:style>
  <w:style w:type="character" w:customStyle="1" w:styleId="column01">
    <w:name w:val="column01"/>
    <w:basedOn w:val="Carpredefinitoparagrafo"/>
    <w:rsid w:val="008B3A45"/>
  </w:style>
  <w:style w:type="paragraph" w:customStyle="1" w:styleId="DummyStyle">
    <w:name w:val="Dummy_Style"/>
    <w:basedOn w:val="Normale"/>
    <w:semiHidden/>
    <w:qFormat/>
    <w:rsid w:val="008B3A45"/>
    <w:rPr>
      <w:color w:val="00B05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00C04-3E80-4AA1-AB9A-38A92BDCF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2B71D9-83E6-4FC3-BE61-BD33E613DF7A}">
  <ds:schemaRefs>
    <ds:schemaRef ds:uri="http://schemas.microsoft.com/sharepoint/v3/contenttype/forms"/>
  </ds:schemaRefs>
</ds:datastoreItem>
</file>

<file path=customXml/itemProps3.xml><?xml version="1.0" encoding="utf-8"?>
<ds:datastoreItem xmlns:ds="http://schemas.openxmlformats.org/officeDocument/2006/customXml" ds:itemID="{3A8195D5-FA66-450D-98B3-75DA356A79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3F6E18-E399-4AB7-A462-E58AD167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2784</Words>
  <Characters>15874</Characters>
  <Application>Microsoft Office Word</Application>
  <DocSecurity>0</DocSecurity>
  <Lines>132</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18621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2015-12-10T15:05:00Z</dcterms:created>
  <dcterms:modified xsi:type="dcterms:W3CDTF">2015-12-10T15:05:00Z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18976/13</vt:lpwstr>
  </property>
  <property fmtid="{D5CDD505-2E9C-101B-9397-08002B2CF9AE}" pid="4" name="CASEID">
    <vt:lpwstr>872833</vt:lpwstr>
  </property>
  <property fmtid="{D5CDD505-2E9C-101B-9397-08002B2CF9AE}" pid="5" name="OrigTemp">
    <vt:lpwstr>French\Documents\DF01 Decisions et Rapports\Reports automation IT ONLY\Décision.dotx</vt:lpwstr>
  </property>
  <property fmtid="{D5CDD505-2E9C-101B-9397-08002B2CF9AE}" pid="6" name="ContentTypeId">
    <vt:lpwstr>0x010100558EB02BDB9E204AB350EDD385B68E10</vt:lpwstr>
  </property>
</Properties>
</file>